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0BD5" w14:textId="77777777" w:rsidR="0055602E" w:rsidRPr="000408D6" w:rsidRDefault="002130EE">
      <w:pPr>
        <w:pStyle w:val="BodyText"/>
      </w:pPr>
      <w:r w:rsidRPr="000408D6">
        <w:rPr>
          <w:rFonts w:eastAsia="Times New Roman"/>
          <w:noProof/>
        </w:rPr>
        <w:drawing>
          <wp:inline distT="0" distB="0" distL="0" distR="0" wp14:anchorId="1C262FA5" wp14:editId="7FFE87D5">
            <wp:extent cx="1972993" cy="548640"/>
            <wp:effectExtent l="0" t="0" r="8255" b="3810"/>
            <wp:docPr id="1" name="Picture 1" descr="COF_307c sun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_307c sunbu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2993" cy="548640"/>
                    </a:xfrm>
                    <a:prstGeom prst="rect">
                      <a:avLst/>
                    </a:prstGeom>
                    <a:noFill/>
                    <a:ln>
                      <a:noFill/>
                    </a:ln>
                  </pic:spPr>
                </pic:pic>
              </a:graphicData>
            </a:graphic>
          </wp:inline>
        </w:drawing>
      </w:r>
    </w:p>
    <w:p w14:paraId="5A1BBBE6" w14:textId="77777777" w:rsidR="00015158" w:rsidRPr="000408D6" w:rsidRDefault="00015158" w:rsidP="00015158">
      <w:pPr>
        <w:spacing w:before="240"/>
        <w:contextualSpacing/>
        <w:rPr>
          <w:rFonts w:cs="Arial"/>
          <w:b/>
          <w:color w:val="003974"/>
        </w:rPr>
      </w:pPr>
      <w:r w:rsidRPr="000408D6">
        <w:rPr>
          <w:rFonts w:cs="Arial"/>
          <w:b/>
          <w:color w:val="003974"/>
        </w:rPr>
        <w:t>Planning and Development Department</w:t>
      </w:r>
    </w:p>
    <w:p w14:paraId="7504585E" w14:textId="730C39EF" w:rsidR="00015158" w:rsidRPr="000408D6" w:rsidRDefault="00015158" w:rsidP="00015158">
      <w:pPr>
        <w:contextualSpacing/>
        <w:rPr>
          <w:rFonts w:cs="Arial"/>
          <w:b/>
          <w:color w:val="003974"/>
        </w:rPr>
      </w:pPr>
      <w:r w:rsidRPr="000408D6">
        <w:rPr>
          <w:rFonts w:cs="Arial"/>
          <w:b/>
          <w:color w:val="003974"/>
        </w:rPr>
        <w:t>Community Development Division (CDD)</w:t>
      </w:r>
    </w:p>
    <w:p w14:paraId="42BF0AFB" w14:textId="27BFD96B" w:rsidR="00015158" w:rsidRPr="000408D6" w:rsidRDefault="0067520C" w:rsidP="00015158">
      <w:pPr>
        <w:spacing w:before="240"/>
        <w:contextualSpacing/>
        <w:rPr>
          <w:rFonts w:cs="Arial"/>
          <w:b/>
          <w:color w:val="003974"/>
        </w:rPr>
      </w:pPr>
      <w:r>
        <w:rPr>
          <w:rFonts w:cs="Arial"/>
          <w:b/>
          <w:color w:val="003974"/>
        </w:rPr>
        <w:t>April 10</w:t>
      </w:r>
      <w:r w:rsidR="000C5161" w:rsidRPr="000408D6">
        <w:rPr>
          <w:rFonts w:cs="Arial"/>
          <w:b/>
          <w:color w:val="003974"/>
        </w:rPr>
        <w:t>, 2026</w:t>
      </w:r>
    </w:p>
    <w:p w14:paraId="36150A56" w14:textId="6F7474D9" w:rsidR="002130EE" w:rsidRPr="005E0360" w:rsidRDefault="001B08B1" w:rsidP="00015158">
      <w:pPr>
        <w:pStyle w:val="Title"/>
        <w:spacing w:before="600" w:after="600"/>
        <w:rPr>
          <w:color w:val="003974"/>
          <w:sz w:val="32"/>
          <w:szCs w:val="32"/>
        </w:rPr>
      </w:pPr>
      <w:r>
        <w:rPr>
          <w:color w:val="003974"/>
          <w:sz w:val="32"/>
          <w:szCs w:val="32"/>
        </w:rPr>
        <w:t>2026 – 2027</w:t>
      </w:r>
      <w:r w:rsidR="000C5161" w:rsidRPr="005E0360">
        <w:rPr>
          <w:color w:val="003974"/>
          <w:sz w:val="32"/>
          <w:szCs w:val="32"/>
        </w:rPr>
        <w:t xml:space="preserve"> </w:t>
      </w:r>
      <w:r w:rsidR="006F6116" w:rsidRPr="005E0360">
        <w:rPr>
          <w:color w:val="003974"/>
          <w:sz w:val="32"/>
          <w:szCs w:val="32"/>
        </w:rPr>
        <w:t xml:space="preserve">Notice of </w:t>
      </w:r>
      <w:r w:rsidR="002130EE" w:rsidRPr="005E0360">
        <w:rPr>
          <w:color w:val="003974"/>
          <w:sz w:val="32"/>
          <w:szCs w:val="32"/>
        </w:rPr>
        <w:t>FUNDING AVAILABILITY (</w:t>
      </w:r>
      <w:r w:rsidR="001163EE" w:rsidRPr="005E0360">
        <w:rPr>
          <w:color w:val="003974"/>
          <w:sz w:val="32"/>
          <w:szCs w:val="32"/>
        </w:rPr>
        <w:t>NOFA</w:t>
      </w:r>
      <w:r w:rsidR="002130EE" w:rsidRPr="005E0360">
        <w:rPr>
          <w:color w:val="003974"/>
          <w:sz w:val="32"/>
          <w:szCs w:val="32"/>
        </w:rPr>
        <w:t>) HANDBOOK</w:t>
      </w:r>
    </w:p>
    <w:p w14:paraId="603A6633" w14:textId="67DF7054" w:rsidR="00695106" w:rsidRPr="000408D6" w:rsidRDefault="006F6116" w:rsidP="002D51A3">
      <w:pPr>
        <w:pStyle w:val="ListParagraph"/>
        <w:numPr>
          <w:ilvl w:val="0"/>
          <w:numId w:val="1"/>
        </w:numPr>
        <w:spacing w:after="0"/>
        <w:rPr>
          <w:rFonts w:cs="Arial"/>
          <w:b/>
          <w:color w:val="003974"/>
        </w:rPr>
      </w:pPr>
      <w:r w:rsidRPr="000408D6">
        <w:rPr>
          <w:rFonts w:cs="Arial"/>
          <w:b/>
          <w:color w:val="003974"/>
        </w:rPr>
        <w:t>Fair Housing</w:t>
      </w:r>
    </w:p>
    <w:p w14:paraId="41A800FA" w14:textId="1CC3C10C" w:rsidR="008F1DFC" w:rsidRPr="000408D6" w:rsidRDefault="00695106" w:rsidP="002D51A3">
      <w:pPr>
        <w:pStyle w:val="ListParagraph"/>
        <w:numPr>
          <w:ilvl w:val="1"/>
          <w:numId w:val="1"/>
        </w:numPr>
        <w:spacing w:after="0"/>
        <w:rPr>
          <w:rFonts w:cs="Arial"/>
        </w:rPr>
      </w:pPr>
      <w:r w:rsidRPr="000408D6">
        <w:rPr>
          <w:rFonts w:cs="Arial"/>
        </w:rPr>
        <w:t>Community Development Block Grant (CDBG)</w:t>
      </w:r>
    </w:p>
    <w:p w14:paraId="735DAA7A" w14:textId="20F031D3" w:rsidR="008B5749" w:rsidRPr="000408D6" w:rsidRDefault="008B5749" w:rsidP="008B5749">
      <w:pPr>
        <w:pStyle w:val="ListParagraph"/>
        <w:spacing w:after="0"/>
        <w:rPr>
          <w:rFonts w:cs="Arial"/>
        </w:rPr>
      </w:pPr>
    </w:p>
    <w:p w14:paraId="73774D01" w14:textId="77777777" w:rsidR="008B5749" w:rsidRPr="000408D6" w:rsidRDefault="008B5749" w:rsidP="008B5749">
      <w:pPr>
        <w:pStyle w:val="ListParagraph"/>
        <w:spacing w:after="0"/>
        <w:rPr>
          <w:rFonts w:cs="Arial"/>
        </w:rPr>
      </w:pPr>
    </w:p>
    <w:p w14:paraId="7BB29032" w14:textId="77777777" w:rsidR="008B5749" w:rsidRPr="000408D6" w:rsidRDefault="008B5749" w:rsidP="008B5749">
      <w:pPr>
        <w:pStyle w:val="ListParagraph"/>
        <w:spacing w:after="0"/>
        <w:rPr>
          <w:rFonts w:cs="Arial"/>
        </w:rPr>
      </w:pPr>
    </w:p>
    <w:p w14:paraId="6E0F80B2" w14:textId="77777777" w:rsidR="008B5749" w:rsidRPr="000408D6" w:rsidRDefault="008B5749" w:rsidP="008B5749">
      <w:pPr>
        <w:pStyle w:val="ListParagraph"/>
        <w:spacing w:after="0"/>
        <w:rPr>
          <w:rFonts w:cs="Arial"/>
        </w:rPr>
      </w:pPr>
    </w:p>
    <w:p w14:paraId="7AC9B930" w14:textId="77777777" w:rsidR="008B5749" w:rsidRPr="000408D6" w:rsidRDefault="008B5749" w:rsidP="008B5749">
      <w:pPr>
        <w:pStyle w:val="ListParagraph"/>
        <w:spacing w:after="0"/>
        <w:rPr>
          <w:rFonts w:cs="Arial"/>
        </w:rPr>
      </w:pPr>
    </w:p>
    <w:p w14:paraId="28EBFA8C" w14:textId="77777777" w:rsidR="008B5749" w:rsidRPr="000408D6" w:rsidRDefault="008B5749" w:rsidP="008B5749">
      <w:pPr>
        <w:pStyle w:val="ListParagraph"/>
        <w:spacing w:after="0"/>
        <w:rPr>
          <w:rFonts w:cs="Arial"/>
        </w:rPr>
      </w:pPr>
    </w:p>
    <w:p w14:paraId="0F697C1C" w14:textId="77777777" w:rsidR="008B5749" w:rsidRPr="000408D6" w:rsidRDefault="008B5749" w:rsidP="008B5749">
      <w:pPr>
        <w:pStyle w:val="ListParagraph"/>
        <w:spacing w:after="0"/>
        <w:rPr>
          <w:rFonts w:cs="Arial"/>
        </w:rPr>
      </w:pPr>
    </w:p>
    <w:p w14:paraId="7AD4D229" w14:textId="246B4219" w:rsidR="002D51A3" w:rsidRPr="000408D6" w:rsidRDefault="008B5749" w:rsidP="008B5749">
      <w:pPr>
        <w:pStyle w:val="ListParagraph"/>
        <w:spacing w:after="0"/>
        <w:rPr>
          <w:rFonts w:cs="Arial"/>
        </w:rPr>
      </w:pPr>
      <w:r w:rsidRPr="000408D6">
        <w:rPr>
          <w:rFonts w:cs="Arial"/>
        </w:rPr>
        <w:br w:type="page"/>
      </w:r>
    </w:p>
    <w:p w14:paraId="1FC328BC" w14:textId="6192C809" w:rsidR="002D51A3" w:rsidRPr="000408D6" w:rsidRDefault="002D51A3" w:rsidP="002D51A3">
      <w:pPr>
        <w:pStyle w:val="Heading1"/>
        <w:rPr>
          <w:sz w:val="24"/>
        </w:rPr>
      </w:pPr>
      <w:bookmarkStart w:id="0" w:name="_Toc101449198"/>
      <w:r w:rsidRPr="000408D6">
        <w:rPr>
          <w:sz w:val="24"/>
        </w:rPr>
        <w:lastRenderedPageBreak/>
        <w:t>Table of Contents</w:t>
      </w:r>
      <w:bookmarkEnd w:id="0"/>
    </w:p>
    <w:p w14:paraId="7EF89E85" w14:textId="77777777" w:rsidR="00BD727B" w:rsidRPr="000408D6" w:rsidRDefault="00BD727B" w:rsidP="002D51A3">
      <w:pPr>
        <w:spacing w:after="0"/>
        <w:rPr>
          <w:rFonts w:cs="Arial"/>
          <w:i/>
        </w:rPr>
      </w:pPr>
    </w:p>
    <w:sdt>
      <w:sdtPr>
        <w:rPr>
          <w:rFonts w:cs="Arial"/>
        </w:rPr>
        <w:id w:val="255798068"/>
        <w:docPartObj>
          <w:docPartGallery w:val="Table of Contents"/>
          <w:docPartUnique/>
        </w:docPartObj>
      </w:sdtPr>
      <w:sdtEndPr>
        <w:rPr>
          <w:noProof/>
        </w:rPr>
      </w:sdtEndPr>
      <w:sdtContent>
        <w:p w14:paraId="6CC4E001" w14:textId="6CD7834F" w:rsidR="008F2745" w:rsidRPr="000408D6" w:rsidRDefault="002D51A3">
          <w:pPr>
            <w:pStyle w:val="TOC1"/>
            <w:tabs>
              <w:tab w:val="right" w:leader="dot" w:pos="9350"/>
            </w:tabs>
            <w:rPr>
              <w:rFonts w:eastAsiaTheme="minorEastAsia" w:cs="Arial"/>
              <w:noProof/>
            </w:rPr>
          </w:pPr>
          <w:r w:rsidRPr="000408D6">
            <w:rPr>
              <w:rFonts w:cs="Arial"/>
            </w:rPr>
            <w:fldChar w:fldCharType="begin"/>
          </w:r>
          <w:r w:rsidRPr="000408D6">
            <w:rPr>
              <w:rFonts w:cs="Arial"/>
            </w:rPr>
            <w:instrText xml:space="preserve"> TOC \o "1-3" \h \z \u </w:instrText>
          </w:r>
          <w:r w:rsidRPr="000408D6">
            <w:rPr>
              <w:rFonts w:cs="Arial"/>
            </w:rPr>
            <w:fldChar w:fldCharType="separate"/>
          </w:r>
          <w:hyperlink w:anchor="_Toc101449199" w:history="1">
            <w:r w:rsidR="008F2745" w:rsidRPr="000408D6">
              <w:rPr>
                <w:rStyle w:val="Hyperlink"/>
                <w:rFonts w:cs="Arial"/>
                <w:noProof/>
              </w:rPr>
              <w:t>Application Submission</w:t>
            </w:r>
            <w:r w:rsidR="008F2745" w:rsidRPr="000408D6">
              <w:rPr>
                <w:rFonts w:cs="Arial"/>
                <w:noProof/>
                <w:webHidden/>
              </w:rPr>
              <w:tab/>
            </w:r>
            <w:r w:rsidR="008F2745" w:rsidRPr="000408D6">
              <w:rPr>
                <w:rFonts w:cs="Arial"/>
                <w:noProof/>
                <w:webHidden/>
              </w:rPr>
              <w:fldChar w:fldCharType="begin"/>
            </w:r>
            <w:r w:rsidR="008F2745" w:rsidRPr="000408D6">
              <w:rPr>
                <w:rFonts w:cs="Arial"/>
                <w:noProof/>
                <w:webHidden/>
              </w:rPr>
              <w:instrText xml:space="preserve"> PAGEREF _Toc101449199 \h </w:instrText>
            </w:r>
            <w:r w:rsidR="008F2745" w:rsidRPr="000408D6">
              <w:rPr>
                <w:rFonts w:cs="Arial"/>
                <w:noProof/>
                <w:webHidden/>
              </w:rPr>
            </w:r>
            <w:r w:rsidR="008F2745" w:rsidRPr="000408D6">
              <w:rPr>
                <w:rFonts w:cs="Arial"/>
                <w:noProof/>
                <w:webHidden/>
              </w:rPr>
              <w:fldChar w:fldCharType="separate"/>
            </w:r>
            <w:r w:rsidR="00EF0257" w:rsidRPr="000408D6">
              <w:rPr>
                <w:rFonts w:cs="Arial"/>
                <w:noProof/>
                <w:webHidden/>
              </w:rPr>
              <w:t>3</w:t>
            </w:r>
            <w:r w:rsidR="008F2745" w:rsidRPr="000408D6">
              <w:rPr>
                <w:rFonts w:cs="Arial"/>
                <w:noProof/>
                <w:webHidden/>
              </w:rPr>
              <w:fldChar w:fldCharType="end"/>
            </w:r>
          </w:hyperlink>
        </w:p>
        <w:p w14:paraId="57D28178" w14:textId="7039906C" w:rsidR="008F2745" w:rsidRPr="000408D6" w:rsidRDefault="008F2745">
          <w:pPr>
            <w:pStyle w:val="TOC1"/>
            <w:tabs>
              <w:tab w:val="right" w:leader="dot" w:pos="9350"/>
            </w:tabs>
            <w:rPr>
              <w:rFonts w:eastAsiaTheme="minorEastAsia" w:cs="Arial"/>
              <w:noProof/>
            </w:rPr>
          </w:pPr>
          <w:hyperlink w:anchor="_Toc101449200" w:history="1">
            <w:r w:rsidRPr="000408D6">
              <w:rPr>
                <w:rStyle w:val="Hyperlink"/>
                <w:rFonts w:cs="Arial"/>
                <w:noProof/>
              </w:rPr>
              <w:t>Introduction</w:t>
            </w:r>
            <w:r w:rsidRPr="000408D6">
              <w:rPr>
                <w:rFonts w:cs="Arial"/>
                <w:noProof/>
                <w:webHidden/>
              </w:rPr>
              <w:tab/>
            </w:r>
            <w:r w:rsidRPr="000408D6">
              <w:rPr>
                <w:rFonts w:cs="Arial"/>
                <w:noProof/>
                <w:webHidden/>
              </w:rPr>
              <w:fldChar w:fldCharType="begin"/>
            </w:r>
            <w:r w:rsidRPr="000408D6">
              <w:rPr>
                <w:rFonts w:cs="Arial"/>
                <w:noProof/>
                <w:webHidden/>
              </w:rPr>
              <w:instrText xml:space="preserve"> PAGEREF _Toc101449200 \h </w:instrText>
            </w:r>
            <w:r w:rsidRPr="000408D6">
              <w:rPr>
                <w:rFonts w:cs="Arial"/>
                <w:noProof/>
                <w:webHidden/>
              </w:rPr>
            </w:r>
            <w:r w:rsidRPr="000408D6">
              <w:rPr>
                <w:rFonts w:cs="Arial"/>
                <w:noProof/>
                <w:webHidden/>
              </w:rPr>
              <w:fldChar w:fldCharType="separate"/>
            </w:r>
            <w:r w:rsidR="00EF0257" w:rsidRPr="000408D6">
              <w:rPr>
                <w:rFonts w:cs="Arial"/>
                <w:noProof/>
                <w:webHidden/>
              </w:rPr>
              <w:t>4</w:t>
            </w:r>
            <w:r w:rsidRPr="000408D6">
              <w:rPr>
                <w:rFonts w:cs="Arial"/>
                <w:noProof/>
                <w:webHidden/>
              </w:rPr>
              <w:fldChar w:fldCharType="end"/>
            </w:r>
          </w:hyperlink>
        </w:p>
        <w:p w14:paraId="41BDC338" w14:textId="53FD76FC" w:rsidR="008F2745" w:rsidRPr="000408D6" w:rsidRDefault="008F2745">
          <w:pPr>
            <w:pStyle w:val="TOC1"/>
            <w:tabs>
              <w:tab w:val="right" w:leader="dot" w:pos="9350"/>
            </w:tabs>
            <w:rPr>
              <w:rFonts w:eastAsiaTheme="minorEastAsia" w:cs="Arial"/>
              <w:noProof/>
            </w:rPr>
          </w:pPr>
          <w:hyperlink w:anchor="_Toc101449201" w:history="1">
            <w:r w:rsidRPr="000408D6">
              <w:rPr>
                <w:rStyle w:val="Hyperlink"/>
                <w:rFonts w:cs="Arial"/>
                <w:noProof/>
              </w:rPr>
              <w:t>Invitation</w:t>
            </w:r>
            <w:r w:rsidRPr="000408D6">
              <w:rPr>
                <w:rFonts w:cs="Arial"/>
                <w:noProof/>
                <w:webHidden/>
              </w:rPr>
              <w:tab/>
            </w:r>
            <w:r w:rsidRPr="000408D6">
              <w:rPr>
                <w:rFonts w:cs="Arial"/>
                <w:noProof/>
                <w:webHidden/>
              </w:rPr>
              <w:fldChar w:fldCharType="begin"/>
            </w:r>
            <w:r w:rsidRPr="000408D6">
              <w:rPr>
                <w:rFonts w:cs="Arial"/>
                <w:noProof/>
                <w:webHidden/>
              </w:rPr>
              <w:instrText xml:space="preserve"> PAGEREF _Toc101449201 \h </w:instrText>
            </w:r>
            <w:r w:rsidRPr="000408D6">
              <w:rPr>
                <w:rFonts w:cs="Arial"/>
                <w:noProof/>
                <w:webHidden/>
              </w:rPr>
            </w:r>
            <w:r w:rsidRPr="000408D6">
              <w:rPr>
                <w:rFonts w:cs="Arial"/>
                <w:noProof/>
                <w:webHidden/>
              </w:rPr>
              <w:fldChar w:fldCharType="separate"/>
            </w:r>
            <w:r w:rsidR="00EF0257" w:rsidRPr="000408D6">
              <w:rPr>
                <w:rFonts w:cs="Arial"/>
                <w:noProof/>
                <w:webHidden/>
              </w:rPr>
              <w:t>5</w:t>
            </w:r>
            <w:r w:rsidRPr="000408D6">
              <w:rPr>
                <w:rFonts w:cs="Arial"/>
                <w:noProof/>
                <w:webHidden/>
              </w:rPr>
              <w:fldChar w:fldCharType="end"/>
            </w:r>
          </w:hyperlink>
        </w:p>
        <w:p w14:paraId="27F70107" w14:textId="7A8CD64A" w:rsidR="008F2745" w:rsidRPr="000408D6" w:rsidRDefault="008F2745">
          <w:pPr>
            <w:pStyle w:val="TOC1"/>
            <w:tabs>
              <w:tab w:val="right" w:leader="dot" w:pos="9350"/>
            </w:tabs>
            <w:rPr>
              <w:rFonts w:eastAsiaTheme="minorEastAsia" w:cs="Arial"/>
              <w:noProof/>
            </w:rPr>
          </w:pPr>
          <w:hyperlink w:anchor="_Toc101449202" w:history="1">
            <w:r w:rsidRPr="000408D6">
              <w:rPr>
                <w:rStyle w:val="Hyperlink"/>
                <w:rFonts w:cs="Arial"/>
                <w:noProof/>
              </w:rPr>
              <w:t>2</w:t>
            </w:r>
            <w:r w:rsidR="000C5161" w:rsidRPr="000408D6">
              <w:rPr>
                <w:rStyle w:val="Hyperlink"/>
                <w:rFonts w:cs="Arial"/>
                <w:noProof/>
              </w:rPr>
              <w:t>026</w:t>
            </w:r>
            <w:r w:rsidR="001B08B1">
              <w:rPr>
                <w:rStyle w:val="Hyperlink"/>
                <w:rFonts w:cs="Arial"/>
                <w:noProof/>
              </w:rPr>
              <w:t xml:space="preserve"> – 2027 </w:t>
            </w:r>
            <w:r w:rsidRPr="000408D6">
              <w:rPr>
                <w:rStyle w:val="Hyperlink"/>
                <w:rFonts w:cs="Arial"/>
                <w:noProof/>
              </w:rPr>
              <w:t>Available Funding by Approved Project</w:t>
            </w:r>
            <w:r w:rsidRPr="000408D6">
              <w:rPr>
                <w:rFonts w:cs="Arial"/>
                <w:noProof/>
                <w:webHidden/>
              </w:rPr>
              <w:tab/>
            </w:r>
            <w:r w:rsidRPr="000408D6">
              <w:rPr>
                <w:rFonts w:cs="Arial"/>
                <w:noProof/>
                <w:webHidden/>
              </w:rPr>
              <w:fldChar w:fldCharType="begin"/>
            </w:r>
            <w:r w:rsidRPr="000408D6">
              <w:rPr>
                <w:rFonts w:cs="Arial"/>
                <w:noProof/>
                <w:webHidden/>
              </w:rPr>
              <w:instrText xml:space="preserve"> PAGEREF _Toc101449202 \h </w:instrText>
            </w:r>
            <w:r w:rsidRPr="000408D6">
              <w:rPr>
                <w:rFonts w:cs="Arial"/>
                <w:noProof/>
                <w:webHidden/>
              </w:rPr>
            </w:r>
            <w:r w:rsidRPr="000408D6">
              <w:rPr>
                <w:rFonts w:cs="Arial"/>
                <w:noProof/>
                <w:webHidden/>
              </w:rPr>
              <w:fldChar w:fldCharType="separate"/>
            </w:r>
            <w:r w:rsidR="00EF0257" w:rsidRPr="000408D6">
              <w:rPr>
                <w:rFonts w:cs="Arial"/>
                <w:noProof/>
                <w:webHidden/>
              </w:rPr>
              <w:t>6</w:t>
            </w:r>
            <w:r w:rsidRPr="000408D6">
              <w:rPr>
                <w:rFonts w:cs="Arial"/>
                <w:noProof/>
                <w:webHidden/>
              </w:rPr>
              <w:fldChar w:fldCharType="end"/>
            </w:r>
          </w:hyperlink>
        </w:p>
        <w:p w14:paraId="49EF4089" w14:textId="78D2B210" w:rsidR="008F2745" w:rsidRPr="000408D6" w:rsidRDefault="008F2745">
          <w:pPr>
            <w:pStyle w:val="TOC1"/>
            <w:tabs>
              <w:tab w:val="right" w:leader="dot" w:pos="9350"/>
            </w:tabs>
            <w:rPr>
              <w:rFonts w:eastAsiaTheme="minorEastAsia" w:cs="Arial"/>
              <w:noProof/>
            </w:rPr>
          </w:pPr>
          <w:hyperlink w:anchor="_Toc101449203" w:history="1">
            <w:r w:rsidRPr="000408D6">
              <w:rPr>
                <w:rStyle w:val="Hyperlink"/>
                <w:rFonts w:cs="Arial"/>
                <w:noProof/>
              </w:rPr>
              <w:t>Threshold Eligibility Requirements</w:t>
            </w:r>
            <w:r w:rsidRPr="000408D6">
              <w:rPr>
                <w:rFonts w:cs="Arial"/>
                <w:noProof/>
                <w:webHidden/>
              </w:rPr>
              <w:tab/>
            </w:r>
            <w:r w:rsidRPr="000408D6">
              <w:rPr>
                <w:rFonts w:cs="Arial"/>
                <w:noProof/>
                <w:webHidden/>
              </w:rPr>
              <w:fldChar w:fldCharType="begin"/>
            </w:r>
            <w:r w:rsidRPr="000408D6">
              <w:rPr>
                <w:rFonts w:cs="Arial"/>
                <w:noProof/>
                <w:webHidden/>
              </w:rPr>
              <w:instrText xml:space="preserve"> PAGEREF _Toc101449203 \h </w:instrText>
            </w:r>
            <w:r w:rsidRPr="000408D6">
              <w:rPr>
                <w:rFonts w:cs="Arial"/>
                <w:noProof/>
                <w:webHidden/>
              </w:rPr>
            </w:r>
            <w:r w:rsidRPr="000408D6">
              <w:rPr>
                <w:rFonts w:cs="Arial"/>
                <w:noProof/>
                <w:webHidden/>
              </w:rPr>
              <w:fldChar w:fldCharType="separate"/>
            </w:r>
            <w:r w:rsidR="00EF0257" w:rsidRPr="000408D6">
              <w:rPr>
                <w:rFonts w:cs="Arial"/>
                <w:noProof/>
                <w:webHidden/>
              </w:rPr>
              <w:t>7</w:t>
            </w:r>
            <w:r w:rsidRPr="000408D6">
              <w:rPr>
                <w:rFonts w:cs="Arial"/>
                <w:noProof/>
                <w:webHidden/>
              </w:rPr>
              <w:fldChar w:fldCharType="end"/>
            </w:r>
          </w:hyperlink>
        </w:p>
        <w:p w14:paraId="7A8B9D2F" w14:textId="6E2BE308" w:rsidR="008F2745" w:rsidRPr="000408D6" w:rsidRDefault="008F2745">
          <w:pPr>
            <w:pStyle w:val="TOC1"/>
            <w:tabs>
              <w:tab w:val="right" w:leader="dot" w:pos="9350"/>
            </w:tabs>
            <w:rPr>
              <w:rFonts w:eastAsiaTheme="minorEastAsia" w:cs="Arial"/>
              <w:noProof/>
            </w:rPr>
          </w:pPr>
          <w:hyperlink w:anchor="_Toc101449204" w:history="1">
            <w:r w:rsidRPr="000408D6">
              <w:rPr>
                <w:rStyle w:val="Hyperlink"/>
                <w:rFonts w:cs="Arial"/>
                <w:noProof/>
              </w:rPr>
              <w:t>NOFA and Action Plan Approval Process</w:t>
            </w:r>
            <w:r w:rsidRPr="000408D6">
              <w:rPr>
                <w:rFonts w:cs="Arial"/>
                <w:noProof/>
                <w:webHidden/>
              </w:rPr>
              <w:tab/>
            </w:r>
            <w:r w:rsidRPr="000408D6">
              <w:rPr>
                <w:rFonts w:cs="Arial"/>
                <w:noProof/>
                <w:webHidden/>
              </w:rPr>
              <w:fldChar w:fldCharType="begin"/>
            </w:r>
            <w:r w:rsidRPr="000408D6">
              <w:rPr>
                <w:rFonts w:cs="Arial"/>
                <w:noProof/>
                <w:webHidden/>
              </w:rPr>
              <w:instrText xml:space="preserve"> PAGEREF _Toc101449204 \h </w:instrText>
            </w:r>
            <w:r w:rsidRPr="000408D6">
              <w:rPr>
                <w:rFonts w:cs="Arial"/>
                <w:noProof/>
                <w:webHidden/>
              </w:rPr>
            </w:r>
            <w:r w:rsidRPr="000408D6">
              <w:rPr>
                <w:rFonts w:cs="Arial"/>
                <w:noProof/>
                <w:webHidden/>
              </w:rPr>
              <w:fldChar w:fldCharType="separate"/>
            </w:r>
            <w:r w:rsidR="00EF0257" w:rsidRPr="000408D6">
              <w:rPr>
                <w:rFonts w:cs="Arial"/>
                <w:noProof/>
                <w:webHidden/>
              </w:rPr>
              <w:t>10</w:t>
            </w:r>
            <w:r w:rsidRPr="000408D6">
              <w:rPr>
                <w:rFonts w:cs="Arial"/>
                <w:noProof/>
                <w:webHidden/>
              </w:rPr>
              <w:fldChar w:fldCharType="end"/>
            </w:r>
          </w:hyperlink>
        </w:p>
        <w:p w14:paraId="591A16F9" w14:textId="4A909744" w:rsidR="008F2745" w:rsidRPr="000408D6" w:rsidRDefault="008F2745">
          <w:pPr>
            <w:pStyle w:val="TOC1"/>
            <w:tabs>
              <w:tab w:val="right" w:leader="dot" w:pos="9350"/>
            </w:tabs>
            <w:rPr>
              <w:rFonts w:eastAsiaTheme="minorEastAsia" w:cs="Arial"/>
              <w:noProof/>
            </w:rPr>
          </w:pPr>
          <w:hyperlink w:anchor="_Toc101449205" w:history="1">
            <w:r w:rsidRPr="000408D6">
              <w:rPr>
                <w:rStyle w:val="Hyperlink"/>
                <w:rFonts w:cs="Arial"/>
                <w:noProof/>
              </w:rPr>
              <w:t>Application Period Support</w:t>
            </w:r>
            <w:r w:rsidRPr="000408D6">
              <w:rPr>
                <w:rFonts w:cs="Arial"/>
                <w:noProof/>
                <w:webHidden/>
              </w:rPr>
              <w:tab/>
            </w:r>
            <w:r w:rsidRPr="000408D6">
              <w:rPr>
                <w:rFonts w:cs="Arial"/>
                <w:noProof/>
                <w:webHidden/>
              </w:rPr>
              <w:fldChar w:fldCharType="begin"/>
            </w:r>
            <w:r w:rsidRPr="000408D6">
              <w:rPr>
                <w:rFonts w:cs="Arial"/>
                <w:noProof/>
                <w:webHidden/>
              </w:rPr>
              <w:instrText xml:space="preserve"> PAGEREF _Toc101449205 \h </w:instrText>
            </w:r>
            <w:r w:rsidRPr="000408D6">
              <w:rPr>
                <w:rFonts w:cs="Arial"/>
                <w:noProof/>
                <w:webHidden/>
              </w:rPr>
            </w:r>
            <w:r w:rsidRPr="000408D6">
              <w:rPr>
                <w:rFonts w:cs="Arial"/>
                <w:noProof/>
                <w:webHidden/>
              </w:rPr>
              <w:fldChar w:fldCharType="separate"/>
            </w:r>
            <w:r w:rsidR="00EF0257" w:rsidRPr="000408D6">
              <w:rPr>
                <w:rFonts w:cs="Arial"/>
                <w:noProof/>
                <w:webHidden/>
              </w:rPr>
              <w:t>11</w:t>
            </w:r>
            <w:r w:rsidRPr="000408D6">
              <w:rPr>
                <w:rFonts w:cs="Arial"/>
                <w:noProof/>
                <w:webHidden/>
              </w:rPr>
              <w:fldChar w:fldCharType="end"/>
            </w:r>
          </w:hyperlink>
        </w:p>
        <w:p w14:paraId="58F034E2" w14:textId="5398E4AC" w:rsidR="008F2745" w:rsidRPr="000408D6" w:rsidRDefault="008F2745">
          <w:pPr>
            <w:pStyle w:val="TOC1"/>
            <w:tabs>
              <w:tab w:val="right" w:leader="dot" w:pos="9350"/>
            </w:tabs>
            <w:rPr>
              <w:rFonts w:eastAsiaTheme="minorEastAsia" w:cs="Arial"/>
              <w:noProof/>
            </w:rPr>
          </w:pPr>
          <w:hyperlink w:anchor="_Toc101449206" w:history="1">
            <w:r w:rsidRPr="000408D6">
              <w:rPr>
                <w:rStyle w:val="Hyperlink"/>
                <w:rFonts w:cs="Arial"/>
                <w:noProof/>
              </w:rPr>
              <w:t>Appendices</w:t>
            </w:r>
            <w:r w:rsidRPr="000408D6">
              <w:rPr>
                <w:rFonts w:cs="Arial"/>
                <w:noProof/>
                <w:webHidden/>
              </w:rPr>
              <w:tab/>
            </w:r>
            <w:r w:rsidRPr="000408D6">
              <w:rPr>
                <w:rFonts w:cs="Arial"/>
                <w:noProof/>
                <w:webHidden/>
              </w:rPr>
              <w:fldChar w:fldCharType="begin"/>
            </w:r>
            <w:r w:rsidRPr="000408D6">
              <w:rPr>
                <w:rFonts w:cs="Arial"/>
                <w:noProof/>
                <w:webHidden/>
              </w:rPr>
              <w:instrText xml:space="preserve"> PAGEREF _Toc101449206 \h </w:instrText>
            </w:r>
            <w:r w:rsidRPr="000408D6">
              <w:rPr>
                <w:rFonts w:cs="Arial"/>
                <w:noProof/>
                <w:webHidden/>
              </w:rPr>
            </w:r>
            <w:r w:rsidRPr="000408D6">
              <w:rPr>
                <w:rFonts w:cs="Arial"/>
                <w:noProof/>
                <w:webHidden/>
              </w:rPr>
              <w:fldChar w:fldCharType="separate"/>
            </w:r>
            <w:r w:rsidR="00EF0257" w:rsidRPr="000408D6">
              <w:rPr>
                <w:rFonts w:cs="Arial"/>
                <w:noProof/>
                <w:webHidden/>
              </w:rPr>
              <w:t>12</w:t>
            </w:r>
            <w:r w:rsidRPr="000408D6">
              <w:rPr>
                <w:rFonts w:cs="Arial"/>
                <w:noProof/>
                <w:webHidden/>
              </w:rPr>
              <w:fldChar w:fldCharType="end"/>
            </w:r>
          </w:hyperlink>
        </w:p>
        <w:p w14:paraId="1229A78F" w14:textId="70C80256" w:rsidR="008F2745" w:rsidRPr="000408D6" w:rsidRDefault="005E0360" w:rsidP="00BA51EC">
          <w:pPr>
            <w:pStyle w:val="TOC2"/>
            <w:tabs>
              <w:tab w:val="right" w:leader="dot" w:pos="9350"/>
            </w:tabs>
            <w:ind w:left="0"/>
            <w:rPr>
              <w:rFonts w:eastAsiaTheme="minorEastAsia" w:cs="Arial"/>
              <w:noProof/>
            </w:rPr>
          </w:pPr>
          <w:r>
            <w:t xml:space="preserve">     </w:t>
          </w:r>
          <w:hyperlink w:anchor="_Toc101449207" w:history="1">
            <w:r w:rsidR="008F2745" w:rsidRPr="000408D6">
              <w:rPr>
                <w:rStyle w:val="Hyperlink"/>
                <w:rFonts w:cs="Arial"/>
                <w:noProof/>
              </w:rPr>
              <w:t>Appendix A: CDBG Program Description – Fair Housing (only)</w:t>
            </w:r>
            <w:r w:rsidR="008F2745" w:rsidRPr="000408D6">
              <w:rPr>
                <w:rFonts w:cs="Arial"/>
                <w:noProof/>
                <w:webHidden/>
              </w:rPr>
              <w:tab/>
            </w:r>
            <w:r w:rsidR="008F2745" w:rsidRPr="000408D6">
              <w:rPr>
                <w:rFonts w:cs="Arial"/>
                <w:noProof/>
                <w:webHidden/>
              </w:rPr>
              <w:fldChar w:fldCharType="begin"/>
            </w:r>
            <w:r w:rsidR="008F2745" w:rsidRPr="000408D6">
              <w:rPr>
                <w:rFonts w:cs="Arial"/>
                <w:noProof/>
                <w:webHidden/>
              </w:rPr>
              <w:instrText xml:space="preserve"> PAGEREF _Toc101449207 \h </w:instrText>
            </w:r>
            <w:r w:rsidR="008F2745" w:rsidRPr="000408D6">
              <w:rPr>
                <w:rFonts w:cs="Arial"/>
                <w:noProof/>
                <w:webHidden/>
              </w:rPr>
            </w:r>
            <w:r w:rsidR="008F2745" w:rsidRPr="000408D6">
              <w:rPr>
                <w:rFonts w:cs="Arial"/>
                <w:noProof/>
                <w:webHidden/>
              </w:rPr>
              <w:fldChar w:fldCharType="separate"/>
            </w:r>
            <w:r w:rsidR="00EF0257" w:rsidRPr="000408D6">
              <w:rPr>
                <w:rFonts w:cs="Arial"/>
                <w:noProof/>
                <w:webHidden/>
              </w:rPr>
              <w:t>12</w:t>
            </w:r>
            <w:r w:rsidR="008F2745" w:rsidRPr="000408D6">
              <w:rPr>
                <w:rFonts w:cs="Arial"/>
                <w:noProof/>
                <w:webHidden/>
              </w:rPr>
              <w:fldChar w:fldCharType="end"/>
            </w:r>
          </w:hyperlink>
        </w:p>
        <w:p w14:paraId="630DCA2D" w14:textId="76E1D464" w:rsidR="008F2745" w:rsidRPr="000408D6" w:rsidRDefault="005E0360" w:rsidP="00BA51EC">
          <w:pPr>
            <w:pStyle w:val="TOC2"/>
            <w:tabs>
              <w:tab w:val="right" w:leader="dot" w:pos="9350"/>
            </w:tabs>
            <w:ind w:left="0"/>
            <w:rPr>
              <w:rFonts w:eastAsiaTheme="minorEastAsia" w:cs="Arial"/>
              <w:noProof/>
            </w:rPr>
          </w:pPr>
          <w:r>
            <w:t xml:space="preserve">     </w:t>
          </w:r>
          <w:hyperlink w:anchor="_Toc101449208" w:history="1">
            <w:r w:rsidR="008F2745" w:rsidRPr="000408D6">
              <w:rPr>
                <w:rStyle w:val="Hyperlink"/>
                <w:rFonts w:cs="Arial"/>
                <w:noProof/>
              </w:rPr>
              <w:t xml:space="preserve">Appendix B: </w:t>
            </w:r>
            <w:r w:rsidR="00CB5491">
              <w:rPr>
                <w:rStyle w:val="Hyperlink"/>
                <w:rFonts w:cs="Arial"/>
                <w:noProof/>
              </w:rPr>
              <w:t>2026</w:t>
            </w:r>
            <w:r w:rsidR="001B08B1">
              <w:rPr>
                <w:rStyle w:val="Hyperlink"/>
                <w:rFonts w:cs="Arial"/>
                <w:noProof/>
              </w:rPr>
              <w:t xml:space="preserve"> – 2027 </w:t>
            </w:r>
            <w:r w:rsidR="008F2745" w:rsidRPr="000408D6">
              <w:rPr>
                <w:rStyle w:val="Hyperlink"/>
                <w:rFonts w:cs="Arial"/>
                <w:noProof/>
              </w:rPr>
              <w:t>(PY</w:t>
            </w:r>
            <w:r w:rsidR="000C5161" w:rsidRPr="000408D6">
              <w:rPr>
                <w:rStyle w:val="Hyperlink"/>
                <w:rFonts w:cs="Arial"/>
                <w:noProof/>
              </w:rPr>
              <w:t xml:space="preserve"> 2026</w:t>
            </w:r>
            <w:r w:rsidR="008F2745" w:rsidRPr="000408D6">
              <w:rPr>
                <w:rStyle w:val="Hyperlink"/>
                <w:rFonts w:cs="Arial"/>
                <w:noProof/>
              </w:rPr>
              <w:t>) Fair Housing NOFA Timeline</w:t>
            </w:r>
            <w:r w:rsidR="008F2745" w:rsidRPr="000408D6">
              <w:rPr>
                <w:rFonts w:cs="Arial"/>
                <w:noProof/>
                <w:webHidden/>
              </w:rPr>
              <w:tab/>
            </w:r>
            <w:r w:rsidR="008F2745" w:rsidRPr="000408D6">
              <w:rPr>
                <w:rFonts w:cs="Arial"/>
                <w:noProof/>
                <w:webHidden/>
              </w:rPr>
              <w:fldChar w:fldCharType="begin"/>
            </w:r>
            <w:r w:rsidR="008F2745" w:rsidRPr="000408D6">
              <w:rPr>
                <w:rFonts w:cs="Arial"/>
                <w:noProof/>
                <w:webHidden/>
              </w:rPr>
              <w:instrText xml:space="preserve"> PAGEREF _Toc101449208 \h </w:instrText>
            </w:r>
            <w:r w:rsidR="008F2745" w:rsidRPr="000408D6">
              <w:rPr>
                <w:rFonts w:cs="Arial"/>
                <w:noProof/>
                <w:webHidden/>
              </w:rPr>
            </w:r>
            <w:r w:rsidR="008F2745" w:rsidRPr="000408D6">
              <w:rPr>
                <w:rFonts w:cs="Arial"/>
                <w:noProof/>
                <w:webHidden/>
              </w:rPr>
              <w:fldChar w:fldCharType="separate"/>
            </w:r>
            <w:r w:rsidR="00EF0257" w:rsidRPr="000408D6">
              <w:rPr>
                <w:rFonts w:cs="Arial"/>
                <w:noProof/>
                <w:webHidden/>
              </w:rPr>
              <w:t>14</w:t>
            </w:r>
            <w:r w:rsidR="008F2745" w:rsidRPr="000408D6">
              <w:rPr>
                <w:rFonts w:cs="Arial"/>
                <w:noProof/>
                <w:webHidden/>
              </w:rPr>
              <w:fldChar w:fldCharType="end"/>
            </w:r>
          </w:hyperlink>
        </w:p>
        <w:p w14:paraId="740F9C19" w14:textId="0D83B641" w:rsidR="002D51A3" w:rsidRPr="000408D6" w:rsidRDefault="002D51A3" w:rsidP="002D51A3">
          <w:pPr>
            <w:rPr>
              <w:rFonts w:cs="Arial"/>
              <w:noProof/>
            </w:rPr>
          </w:pPr>
          <w:r w:rsidRPr="000408D6">
            <w:rPr>
              <w:rFonts w:cs="Arial"/>
              <w:noProof/>
            </w:rPr>
            <w:fldChar w:fldCharType="end"/>
          </w:r>
        </w:p>
      </w:sdtContent>
    </w:sdt>
    <w:p w14:paraId="1B059C0B" w14:textId="2C104298" w:rsidR="002D51A3" w:rsidRPr="000408D6" w:rsidRDefault="00BD727B">
      <w:pPr>
        <w:spacing w:after="0"/>
        <w:rPr>
          <w:rFonts w:eastAsia="Arial" w:cs="Arial"/>
          <w:b/>
          <w:i/>
        </w:rPr>
      </w:pPr>
      <w:r w:rsidRPr="000408D6">
        <w:rPr>
          <w:rFonts w:cs="Arial"/>
          <w:i/>
        </w:rPr>
        <w:br w:type="page"/>
      </w:r>
      <w:bookmarkStart w:id="1" w:name="_Toc40977709"/>
    </w:p>
    <w:p w14:paraId="08F409FA" w14:textId="5C8FFDB9" w:rsidR="00BD727B" w:rsidRPr="000408D6" w:rsidRDefault="00BD727B" w:rsidP="00BD727B">
      <w:pPr>
        <w:pStyle w:val="Heading1"/>
        <w:rPr>
          <w:sz w:val="24"/>
        </w:rPr>
      </w:pPr>
      <w:bookmarkStart w:id="2" w:name="_Toc101449199"/>
      <w:r w:rsidRPr="000408D6">
        <w:rPr>
          <w:sz w:val="24"/>
        </w:rPr>
        <w:lastRenderedPageBreak/>
        <w:t>Application Submission</w:t>
      </w:r>
      <w:bookmarkEnd w:id="1"/>
      <w:bookmarkEnd w:id="2"/>
    </w:p>
    <w:p w14:paraId="35B143B8" w14:textId="77777777" w:rsidR="006D6F20" w:rsidRPr="000408D6" w:rsidRDefault="00BD727B" w:rsidP="006D6F20">
      <w:pPr>
        <w:spacing w:after="0"/>
        <w:rPr>
          <w:rFonts w:cs="Arial"/>
          <w:b/>
        </w:rPr>
      </w:pPr>
      <w:r w:rsidRPr="000408D6">
        <w:rPr>
          <w:rFonts w:cs="Arial"/>
          <w:b/>
          <w:i/>
          <w:color w:val="C00000"/>
          <w:u w:val="single"/>
        </w:rPr>
        <w:t xml:space="preserve">Application </w:t>
      </w:r>
      <w:r w:rsidR="006D6F20" w:rsidRPr="000408D6">
        <w:rPr>
          <w:rFonts w:cs="Arial"/>
          <w:b/>
          <w:i/>
          <w:color w:val="C00000"/>
          <w:u w:val="single"/>
        </w:rPr>
        <w:t>Deadline</w:t>
      </w:r>
      <w:r w:rsidR="006D6F20" w:rsidRPr="000408D6">
        <w:rPr>
          <w:rFonts w:cs="Arial"/>
          <w:b/>
        </w:rPr>
        <w:t xml:space="preserve"> </w:t>
      </w:r>
    </w:p>
    <w:p w14:paraId="33A08929" w14:textId="1F61CA2A" w:rsidR="004B0627" w:rsidRDefault="0067520C" w:rsidP="006D6F20">
      <w:pPr>
        <w:spacing w:after="0"/>
        <w:rPr>
          <w:rFonts w:cs="Arial"/>
          <w:b/>
        </w:rPr>
      </w:pPr>
      <w:r>
        <w:rPr>
          <w:rFonts w:cs="Arial"/>
          <w:b/>
        </w:rPr>
        <w:t>May 15</w:t>
      </w:r>
      <w:r w:rsidR="008B5749" w:rsidRPr="000408D6">
        <w:rPr>
          <w:rFonts w:cs="Arial"/>
          <w:b/>
        </w:rPr>
        <w:t>,</w:t>
      </w:r>
      <w:r>
        <w:rPr>
          <w:rFonts w:cs="Arial"/>
          <w:b/>
        </w:rPr>
        <w:t xml:space="preserve"> 2026,</w:t>
      </w:r>
      <w:r w:rsidR="008B5749" w:rsidRPr="000408D6">
        <w:rPr>
          <w:rFonts w:cs="Arial"/>
          <w:b/>
        </w:rPr>
        <w:t xml:space="preserve"> received </w:t>
      </w:r>
      <w:r w:rsidR="00EC0950" w:rsidRPr="000408D6">
        <w:rPr>
          <w:rFonts w:cs="Arial"/>
          <w:b/>
        </w:rPr>
        <w:t xml:space="preserve">by </w:t>
      </w:r>
      <w:r w:rsidR="005E0360">
        <w:rPr>
          <w:rFonts w:cs="Arial"/>
          <w:b/>
        </w:rPr>
        <w:t>4</w:t>
      </w:r>
      <w:r w:rsidR="00EC0950" w:rsidRPr="000408D6">
        <w:rPr>
          <w:rFonts w:cs="Arial"/>
          <w:b/>
        </w:rPr>
        <w:t>:00</w:t>
      </w:r>
      <w:r w:rsidR="00EC0950" w:rsidRPr="000408D6">
        <w:rPr>
          <w:rFonts w:cs="Arial"/>
          <w:b/>
          <w:spacing w:val="-9"/>
        </w:rPr>
        <w:t xml:space="preserve"> </w:t>
      </w:r>
      <w:r w:rsidR="006E754C">
        <w:rPr>
          <w:rFonts w:cs="Arial"/>
          <w:b/>
        </w:rPr>
        <w:t>PM</w:t>
      </w:r>
    </w:p>
    <w:p w14:paraId="24181188" w14:textId="77777777" w:rsidR="006E754C" w:rsidRDefault="006E754C" w:rsidP="006D6F20">
      <w:pPr>
        <w:spacing w:after="0"/>
        <w:rPr>
          <w:rFonts w:cs="Arial"/>
          <w:b/>
        </w:rPr>
      </w:pPr>
    </w:p>
    <w:p w14:paraId="50DBD7EF" w14:textId="4F9AE922" w:rsidR="006E754C" w:rsidRPr="000408D6" w:rsidRDefault="006E754C" w:rsidP="006D6F20">
      <w:pPr>
        <w:spacing w:after="0"/>
        <w:rPr>
          <w:rFonts w:cs="Arial"/>
          <w:b/>
        </w:rPr>
      </w:pPr>
      <w:r>
        <w:rPr>
          <w:rFonts w:cs="Arial"/>
          <w:b/>
        </w:rPr>
        <w:t>Any application received after 4</w:t>
      </w:r>
      <w:r w:rsidR="00CC5049">
        <w:rPr>
          <w:rFonts w:cs="Arial"/>
          <w:b/>
        </w:rPr>
        <w:t>:</w:t>
      </w:r>
      <w:r>
        <w:rPr>
          <w:rFonts w:cs="Arial"/>
          <w:b/>
        </w:rPr>
        <w:t xml:space="preserve">00 PM on </w:t>
      </w:r>
      <w:r w:rsidR="0067520C">
        <w:rPr>
          <w:rFonts w:cs="Arial"/>
          <w:b/>
        </w:rPr>
        <w:t>May 15, 2026,</w:t>
      </w:r>
      <w:r>
        <w:rPr>
          <w:rFonts w:cs="Arial"/>
          <w:b/>
        </w:rPr>
        <w:t xml:space="preserve"> will not be accepted.</w:t>
      </w:r>
    </w:p>
    <w:p w14:paraId="2DB0DD00" w14:textId="77777777" w:rsidR="006D6F20" w:rsidRPr="000408D6" w:rsidRDefault="006D6F20" w:rsidP="006D6F20">
      <w:pPr>
        <w:spacing w:after="0"/>
        <w:rPr>
          <w:rFonts w:cs="Arial"/>
          <w:b/>
        </w:rPr>
      </w:pPr>
    </w:p>
    <w:p w14:paraId="36B8C7E0" w14:textId="7898A7E2" w:rsidR="00FA112E" w:rsidRPr="000408D6" w:rsidRDefault="00BD727B" w:rsidP="00BD727B">
      <w:pPr>
        <w:rPr>
          <w:rFonts w:cs="Arial"/>
          <w:i/>
          <w:u w:val="single"/>
        </w:rPr>
      </w:pPr>
      <w:r w:rsidRPr="000408D6">
        <w:rPr>
          <w:rFonts w:cs="Arial"/>
          <w:i/>
          <w:u w:val="single"/>
        </w:rPr>
        <w:t>Application</w:t>
      </w:r>
      <w:r w:rsidRPr="000408D6">
        <w:rPr>
          <w:rFonts w:cs="Arial"/>
          <w:i/>
          <w:spacing w:val="-14"/>
          <w:u w:val="single"/>
        </w:rPr>
        <w:t xml:space="preserve"> </w:t>
      </w:r>
      <w:r w:rsidRPr="000408D6">
        <w:rPr>
          <w:rFonts w:cs="Arial"/>
          <w:i/>
          <w:u w:val="single"/>
        </w:rPr>
        <w:t>Delivery</w:t>
      </w:r>
    </w:p>
    <w:p w14:paraId="6F0644E0" w14:textId="5B971C49" w:rsidR="00BD727B" w:rsidRPr="000408D6" w:rsidRDefault="00BD727B" w:rsidP="006F6116">
      <w:pPr>
        <w:pStyle w:val="ListParagraph"/>
        <w:numPr>
          <w:ilvl w:val="0"/>
          <w:numId w:val="24"/>
        </w:numPr>
        <w:rPr>
          <w:rStyle w:val="Strong"/>
          <w:rFonts w:eastAsia="Arial" w:cs="Arial"/>
        </w:rPr>
      </w:pPr>
      <w:r w:rsidRPr="000408D6">
        <w:rPr>
          <w:rStyle w:val="Strong"/>
          <w:rFonts w:eastAsia="Arial" w:cs="Arial"/>
          <w:b w:val="0"/>
        </w:rPr>
        <w:t>Ple</w:t>
      </w:r>
      <w:r w:rsidRPr="000408D6">
        <w:rPr>
          <w:rFonts w:eastAsia="Arial" w:cs="Arial"/>
        </w:rPr>
        <w:t>ase submit an electronic version of your application by:</w:t>
      </w:r>
    </w:p>
    <w:p w14:paraId="5E8D3624" w14:textId="777DE179" w:rsidR="00BD727B" w:rsidRPr="000408D6" w:rsidRDefault="00BD727B" w:rsidP="00FA112E">
      <w:pPr>
        <w:ind w:left="1440"/>
        <w:rPr>
          <w:rFonts w:eastAsia="Arial" w:cs="Arial"/>
        </w:rPr>
      </w:pPr>
      <w:r w:rsidRPr="000408D6">
        <w:rPr>
          <w:rFonts w:eastAsia="Arial" w:cs="Arial"/>
        </w:rPr>
        <w:t xml:space="preserve">Email </w:t>
      </w:r>
      <w:hyperlink r:id="rId9" w:history="1">
        <w:r w:rsidRPr="000408D6">
          <w:rPr>
            <w:rStyle w:val="Hyperlink"/>
            <w:rFonts w:eastAsia="Arial" w:cs="Arial"/>
          </w:rPr>
          <w:t>HCDD@fresno.gov</w:t>
        </w:r>
      </w:hyperlink>
      <w:r w:rsidR="00FA112E" w:rsidRPr="000408D6">
        <w:rPr>
          <w:rFonts w:eastAsia="Arial" w:cs="Arial"/>
        </w:rPr>
        <w:t>,</w:t>
      </w:r>
      <w:r w:rsidR="00D74F58" w:rsidRPr="000408D6">
        <w:rPr>
          <w:rFonts w:eastAsia="Arial" w:cs="Arial"/>
        </w:rPr>
        <w:t xml:space="preserve"> or</w:t>
      </w:r>
      <w:r w:rsidR="00FA112E" w:rsidRPr="000408D6">
        <w:rPr>
          <w:rFonts w:eastAsia="Arial" w:cs="Arial"/>
        </w:rPr>
        <w:br/>
      </w:r>
      <w:r w:rsidR="00FA112E" w:rsidRPr="000408D6">
        <w:rPr>
          <w:rFonts w:eastAsia="Arial" w:cs="Arial"/>
        </w:rPr>
        <w:br/>
      </w:r>
      <w:r w:rsidR="00DB02EF" w:rsidRPr="000408D6">
        <w:rPr>
          <w:rFonts w:eastAsia="Arial" w:cs="Arial"/>
        </w:rPr>
        <w:t xml:space="preserve">If your file is over 40 MB, email </w:t>
      </w:r>
      <w:hyperlink r:id="rId10" w:history="1">
        <w:r w:rsidR="00DB02EF" w:rsidRPr="000408D6">
          <w:rPr>
            <w:rStyle w:val="Hyperlink"/>
            <w:rFonts w:eastAsia="Arial" w:cs="Arial"/>
          </w:rPr>
          <w:t>HCDD@fresno.gov</w:t>
        </w:r>
      </w:hyperlink>
      <w:r w:rsidR="00DB02EF" w:rsidRPr="000408D6">
        <w:rPr>
          <w:rFonts w:eastAsia="Arial" w:cs="Arial"/>
        </w:rPr>
        <w:t xml:space="preserve"> to </w:t>
      </w:r>
      <w:r w:rsidR="008B5749" w:rsidRPr="000408D6">
        <w:rPr>
          <w:rFonts w:eastAsia="Arial" w:cs="Arial"/>
        </w:rPr>
        <w:t xml:space="preserve">request and </w:t>
      </w:r>
      <w:r w:rsidR="00DB02EF" w:rsidRPr="000408D6">
        <w:rPr>
          <w:rFonts w:eastAsia="Arial" w:cs="Arial"/>
        </w:rPr>
        <w:t>receive a link for large</w:t>
      </w:r>
      <w:r w:rsidR="008B5749" w:rsidRPr="000408D6">
        <w:rPr>
          <w:rFonts w:eastAsia="Arial" w:cs="Arial"/>
        </w:rPr>
        <w:t>r</w:t>
      </w:r>
      <w:r w:rsidR="00DB02EF" w:rsidRPr="000408D6">
        <w:rPr>
          <w:rFonts w:eastAsia="Arial" w:cs="Arial"/>
        </w:rPr>
        <w:t xml:space="preserve"> file submission.</w:t>
      </w:r>
    </w:p>
    <w:p w14:paraId="26C390BD" w14:textId="77777777" w:rsidR="00EC0950" w:rsidRPr="000408D6" w:rsidRDefault="00EC0950" w:rsidP="00EC0950">
      <w:pPr>
        <w:rPr>
          <w:rFonts w:eastAsia="Arial" w:cs="Arial"/>
        </w:rPr>
      </w:pPr>
      <w:r w:rsidRPr="000408D6">
        <w:rPr>
          <w:rFonts w:eastAsia="Arial" w:cs="Arial"/>
        </w:rPr>
        <w:t>Hard copies of applications and authorizing resolutions are not requested or accepted. If assistance is required for digital submission, please reach out to the contact listed below.</w:t>
      </w:r>
    </w:p>
    <w:p w14:paraId="43A829C2" w14:textId="2B96E180" w:rsidR="00FC03B2" w:rsidRPr="000408D6" w:rsidRDefault="00FC03B2" w:rsidP="00FC03B2">
      <w:pPr>
        <w:rPr>
          <w:rFonts w:eastAsia="Arial" w:cs="Arial"/>
        </w:rPr>
      </w:pPr>
      <w:r w:rsidRPr="000408D6">
        <w:rPr>
          <w:rFonts w:eastAsia="Arial" w:cs="Arial"/>
        </w:rPr>
        <w:t xml:space="preserve">We will email you within one business day of receipt to confirm application submission </w:t>
      </w:r>
      <w:r w:rsidR="009952B4" w:rsidRPr="000408D6">
        <w:rPr>
          <w:rFonts w:eastAsia="Arial" w:cs="Arial"/>
        </w:rPr>
        <w:t xml:space="preserve">– </w:t>
      </w:r>
      <w:r w:rsidR="009952B4">
        <w:rPr>
          <w:rFonts w:eastAsia="Arial" w:cs="Arial"/>
        </w:rPr>
        <w:t>if</w:t>
      </w:r>
      <w:r w:rsidRPr="000408D6">
        <w:rPr>
          <w:rFonts w:eastAsia="Arial" w:cs="Arial"/>
        </w:rPr>
        <w:t xml:space="preserve"> you do not receive a confirmation, please contact the relevant person below:</w:t>
      </w:r>
    </w:p>
    <w:p w14:paraId="6A62EB27" w14:textId="77777777" w:rsidR="00135872" w:rsidRPr="000408D6" w:rsidRDefault="00135872" w:rsidP="00135872">
      <w:pPr>
        <w:rPr>
          <w:rFonts w:cs="Arial"/>
        </w:rPr>
      </w:pPr>
      <w:r w:rsidRPr="000408D6">
        <w:rPr>
          <w:rFonts w:cs="Arial"/>
          <w:i/>
          <w:u w:val="single"/>
        </w:rPr>
        <w:t>Contact</w:t>
      </w:r>
      <w:r w:rsidRPr="000408D6">
        <w:rPr>
          <w:rFonts w:cs="Arial"/>
          <w:i/>
          <w:spacing w:val="-9"/>
          <w:u w:val="single"/>
        </w:rPr>
        <w:t xml:space="preserve"> </w:t>
      </w:r>
      <w:r w:rsidRPr="000408D6">
        <w:rPr>
          <w:rFonts w:cs="Arial"/>
          <w:i/>
          <w:u w:val="single"/>
        </w:rPr>
        <w:t>Person</w:t>
      </w:r>
    </w:p>
    <w:p w14:paraId="5B269286" w14:textId="22D5DCD5" w:rsidR="008B5749" w:rsidRPr="000408D6" w:rsidRDefault="00EC0950" w:rsidP="008B5749">
      <w:pPr>
        <w:pStyle w:val="ListParagraph"/>
        <w:numPr>
          <w:ilvl w:val="0"/>
          <w:numId w:val="2"/>
        </w:numPr>
        <w:rPr>
          <w:rFonts w:cs="Arial"/>
        </w:rPr>
      </w:pPr>
      <w:r w:rsidRPr="000408D6">
        <w:rPr>
          <w:rFonts w:cs="Arial"/>
        </w:rPr>
        <w:t>Fair Housing:</w:t>
      </w:r>
      <w:r w:rsidRPr="000408D6">
        <w:rPr>
          <w:rFonts w:cs="Arial"/>
        </w:rPr>
        <w:br/>
      </w:r>
      <w:r w:rsidR="00597C1A" w:rsidRPr="000408D6">
        <w:rPr>
          <w:rFonts w:cs="Arial"/>
        </w:rPr>
        <w:t>Kimberly Archie</w:t>
      </w:r>
      <w:r w:rsidR="0050124A" w:rsidRPr="000408D6">
        <w:rPr>
          <w:rFonts w:cs="Arial"/>
        </w:rPr>
        <w:t xml:space="preserve"> | 559-621-</w:t>
      </w:r>
      <w:r w:rsidR="00597C1A" w:rsidRPr="000408D6">
        <w:rPr>
          <w:rFonts w:cs="Arial"/>
        </w:rPr>
        <w:t xml:space="preserve">8458 </w:t>
      </w:r>
      <w:r w:rsidRPr="000408D6">
        <w:rPr>
          <w:rFonts w:cs="Arial"/>
        </w:rPr>
        <w:t xml:space="preserve">| </w:t>
      </w:r>
      <w:hyperlink r:id="rId11" w:history="1">
        <w:r w:rsidR="00597C1A" w:rsidRPr="000408D6">
          <w:rPr>
            <w:rStyle w:val="Hyperlink"/>
            <w:rFonts w:cs="Arial"/>
          </w:rPr>
          <w:t>Kimberly.Archie@fresno.gov</w:t>
        </w:r>
      </w:hyperlink>
      <w:r w:rsidR="00597C1A" w:rsidRPr="000408D6">
        <w:rPr>
          <w:rFonts w:cs="Arial"/>
        </w:rPr>
        <w:t xml:space="preserve"> </w:t>
      </w:r>
      <w:r w:rsidR="008B5749" w:rsidRPr="000408D6">
        <w:rPr>
          <w:rFonts w:cs="Arial"/>
        </w:rPr>
        <w:t xml:space="preserve">                cc: Akio Lopez | 559-621-8323 | akio.lopez@fresno.gov</w:t>
      </w:r>
    </w:p>
    <w:p w14:paraId="5C49F633" w14:textId="441C6D38" w:rsidR="006E754C" w:rsidRPr="007C0B51" w:rsidRDefault="00135872" w:rsidP="002D51A3">
      <w:pPr>
        <w:pStyle w:val="ListParagraph"/>
        <w:numPr>
          <w:ilvl w:val="0"/>
          <w:numId w:val="2"/>
        </w:numPr>
        <w:rPr>
          <w:rFonts w:cs="Arial"/>
          <w:i/>
        </w:rPr>
      </w:pPr>
      <w:r w:rsidRPr="000408D6">
        <w:rPr>
          <w:rFonts w:cs="Arial"/>
        </w:rPr>
        <w:t>General Inquiries</w:t>
      </w:r>
      <w:r w:rsidR="00F70EBD" w:rsidRPr="000408D6">
        <w:rPr>
          <w:rFonts w:cs="Arial"/>
        </w:rPr>
        <w:t>:</w:t>
      </w:r>
      <w:r w:rsidRPr="000408D6">
        <w:rPr>
          <w:rFonts w:cs="Arial"/>
        </w:rPr>
        <w:br/>
        <w:t xml:space="preserve">Community Development </w:t>
      </w:r>
      <w:r w:rsidR="00D74F58" w:rsidRPr="000408D6">
        <w:rPr>
          <w:rFonts w:cs="Arial"/>
        </w:rPr>
        <w:t xml:space="preserve">Division </w:t>
      </w:r>
      <w:r w:rsidRPr="000408D6">
        <w:rPr>
          <w:rFonts w:cs="Arial"/>
        </w:rPr>
        <w:t xml:space="preserve">| 559-621-8300 | </w:t>
      </w:r>
      <w:hyperlink r:id="rId12" w:history="1">
        <w:r w:rsidRPr="000408D6">
          <w:rPr>
            <w:rStyle w:val="Hyperlink"/>
            <w:rFonts w:cs="Arial"/>
          </w:rPr>
          <w:t>HCDD@fresno.gov</w:t>
        </w:r>
      </w:hyperlink>
    </w:p>
    <w:p w14:paraId="603D4FF4" w14:textId="77777777" w:rsidR="006E754C" w:rsidRDefault="006E754C" w:rsidP="006E754C">
      <w:pPr>
        <w:rPr>
          <w:rFonts w:cs="Arial"/>
          <w:i/>
        </w:rPr>
      </w:pPr>
    </w:p>
    <w:p w14:paraId="4E3F9300" w14:textId="77777777" w:rsidR="006E754C" w:rsidRPr="00F73997" w:rsidRDefault="006E754C" w:rsidP="006E754C">
      <w:pPr>
        <w:spacing w:after="0" w:line="259" w:lineRule="auto"/>
        <w:rPr>
          <w:i/>
          <w:u w:val="single"/>
        </w:rPr>
      </w:pPr>
      <w:r w:rsidRPr="00F73997">
        <w:rPr>
          <w:i/>
          <w:u w:val="single"/>
        </w:rPr>
        <w:t>Regulated Communications with Elected Officials in City Procurement Process</w:t>
      </w:r>
    </w:p>
    <w:p w14:paraId="77F73FDD" w14:textId="77777777" w:rsidR="006E754C" w:rsidRDefault="006E754C" w:rsidP="006E754C">
      <w:r>
        <w:t xml:space="preserve">Applicants must comply with Article 6 – Regulated Communications with Elected Officials in City Procurement Process of the Fresno Municipal Code. No applicant shall initiate, engage in, or continue any communication to or with any elected official concerning or touching on any matter which is subject of this competitive NOFA. </w:t>
      </w:r>
    </w:p>
    <w:p w14:paraId="6359F6EC" w14:textId="77777777" w:rsidR="006E754C" w:rsidRPr="00235597" w:rsidRDefault="006E754C" w:rsidP="006E754C">
      <w:r>
        <w:t xml:space="preserve">Any applicant violating this article will be disqualified from the NOFA process. </w:t>
      </w:r>
    </w:p>
    <w:p w14:paraId="49C378BE" w14:textId="3C6A975B" w:rsidR="00BD727B" w:rsidRPr="007C0B51" w:rsidRDefault="00BD727B" w:rsidP="007C0B51">
      <w:pPr>
        <w:rPr>
          <w:rFonts w:cs="Arial"/>
          <w:i/>
        </w:rPr>
      </w:pPr>
      <w:r w:rsidRPr="007C0B51">
        <w:rPr>
          <w:rFonts w:cs="Arial"/>
          <w:i/>
        </w:rPr>
        <w:br w:type="page"/>
      </w:r>
    </w:p>
    <w:p w14:paraId="60A9CCB6" w14:textId="77777777" w:rsidR="0055602E" w:rsidRPr="000408D6" w:rsidRDefault="00D74F58" w:rsidP="00D74F58">
      <w:pPr>
        <w:pStyle w:val="Heading1"/>
        <w:rPr>
          <w:sz w:val="24"/>
        </w:rPr>
      </w:pPr>
      <w:bookmarkStart w:id="3" w:name="_Ref40102667"/>
      <w:bookmarkStart w:id="4" w:name="_Toc40977710"/>
      <w:bookmarkStart w:id="5" w:name="_Toc101449200"/>
      <w:r w:rsidRPr="000408D6">
        <w:rPr>
          <w:sz w:val="24"/>
        </w:rPr>
        <w:lastRenderedPageBreak/>
        <w:t>Introduction</w:t>
      </w:r>
      <w:bookmarkEnd w:id="3"/>
      <w:bookmarkEnd w:id="4"/>
      <w:bookmarkEnd w:id="5"/>
    </w:p>
    <w:p w14:paraId="6D1F3E0D" w14:textId="7D84CBF4" w:rsidR="006D5408" w:rsidRPr="000408D6" w:rsidRDefault="006C1EE2" w:rsidP="00C10875">
      <w:pPr>
        <w:rPr>
          <w:rFonts w:cs="Arial"/>
        </w:rPr>
      </w:pPr>
      <w:r w:rsidRPr="000408D6">
        <w:rPr>
          <w:rFonts w:cs="Arial"/>
        </w:rPr>
        <w:t>The</w:t>
      </w:r>
      <w:r w:rsidR="002130EE" w:rsidRPr="000408D6">
        <w:rPr>
          <w:rFonts w:cs="Arial"/>
        </w:rPr>
        <w:t xml:space="preserve"> purpose of this Handbook is to guide interested parties through the </w:t>
      </w:r>
      <w:r w:rsidR="00092867" w:rsidRPr="000408D6">
        <w:rPr>
          <w:rFonts w:cs="Arial"/>
        </w:rPr>
        <w:t>City of Fresno</w:t>
      </w:r>
      <w:r w:rsidR="002130EE" w:rsidRPr="000408D6">
        <w:rPr>
          <w:rFonts w:cs="Arial"/>
        </w:rPr>
        <w:t xml:space="preserve">’s </w:t>
      </w:r>
      <w:r w:rsidR="00EC0950" w:rsidRPr="000408D6">
        <w:rPr>
          <w:rFonts w:cs="Arial"/>
        </w:rPr>
        <w:t xml:space="preserve">Fair Housing </w:t>
      </w:r>
      <w:r w:rsidR="004A2EBE" w:rsidRPr="000408D6">
        <w:rPr>
          <w:rFonts w:cs="Arial"/>
        </w:rPr>
        <w:t>Notice of Funding Availability (</w:t>
      </w:r>
      <w:r w:rsidR="001163EE" w:rsidRPr="000408D6">
        <w:rPr>
          <w:rFonts w:cs="Arial"/>
        </w:rPr>
        <w:t>NOFA</w:t>
      </w:r>
      <w:r w:rsidR="004A2EBE" w:rsidRPr="000408D6">
        <w:rPr>
          <w:rFonts w:cs="Arial"/>
        </w:rPr>
        <w:t>) for</w:t>
      </w:r>
      <w:r w:rsidR="008B5749" w:rsidRPr="000408D6">
        <w:rPr>
          <w:rFonts w:cs="Arial"/>
        </w:rPr>
        <w:t xml:space="preserve"> </w:t>
      </w:r>
      <w:r w:rsidR="00BA463A" w:rsidRPr="000408D6">
        <w:rPr>
          <w:rFonts w:cs="Arial"/>
        </w:rPr>
        <w:t xml:space="preserve">program year </w:t>
      </w:r>
      <w:r w:rsidR="008B5749" w:rsidRPr="000408D6">
        <w:rPr>
          <w:rFonts w:cs="Arial"/>
        </w:rPr>
        <w:t>2026</w:t>
      </w:r>
      <w:r w:rsidR="001B08B1">
        <w:rPr>
          <w:rFonts w:cs="Arial"/>
        </w:rPr>
        <w:t xml:space="preserve"> – 2027 </w:t>
      </w:r>
      <w:r w:rsidR="00BA463A" w:rsidRPr="000408D6">
        <w:rPr>
          <w:rFonts w:cs="Arial"/>
        </w:rPr>
        <w:t>(PY 2026)</w:t>
      </w:r>
      <w:r w:rsidR="008B5749" w:rsidRPr="000408D6">
        <w:rPr>
          <w:rFonts w:cs="Arial"/>
        </w:rPr>
        <w:t>.</w:t>
      </w:r>
      <w:r w:rsidR="00EE31C7" w:rsidRPr="000408D6">
        <w:rPr>
          <w:rFonts w:cs="Arial"/>
        </w:rPr>
        <w:t xml:space="preserve"> </w:t>
      </w:r>
      <w:r w:rsidR="002130EE" w:rsidRPr="000408D6">
        <w:rPr>
          <w:rFonts w:cs="Arial"/>
        </w:rPr>
        <w:t xml:space="preserve">This Handbook provides a general overview of </w:t>
      </w:r>
      <w:r w:rsidR="003C7E0C" w:rsidRPr="000408D6">
        <w:rPr>
          <w:rFonts w:cs="Arial"/>
        </w:rPr>
        <w:t xml:space="preserve">the </w:t>
      </w:r>
      <w:r w:rsidR="001163EE" w:rsidRPr="000408D6">
        <w:rPr>
          <w:rFonts w:cs="Arial"/>
        </w:rPr>
        <w:t>NOFA</w:t>
      </w:r>
      <w:r w:rsidR="003C7E0C" w:rsidRPr="000408D6">
        <w:rPr>
          <w:rFonts w:cs="Arial"/>
        </w:rPr>
        <w:t xml:space="preserve"> process and </w:t>
      </w:r>
      <w:r w:rsidR="002130EE" w:rsidRPr="000408D6">
        <w:rPr>
          <w:rFonts w:cs="Arial"/>
        </w:rPr>
        <w:t xml:space="preserve">applicable requirements and is for informational purposes only. </w:t>
      </w:r>
      <w:r w:rsidR="002130EE" w:rsidRPr="000408D6">
        <w:rPr>
          <w:rFonts w:cs="Arial"/>
          <w:b/>
        </w:rPr>
        <w:t xml:space="preserve">It is not intended to be a full disclosure of all applicable </w:t>
      </w:r>
      <w:r w:rsidR="00BA463A" w:rsidRPr="000408D6">
        <w:rPr>
          <w:rFonts w:cs="Arial"/>
          <w:b/>
        </w:rPr>
        <w:t>F</w:t>
      </w:r>
      <w:r w:rsidR="002130EE" w:rsidRPr="000408D6">
        <w:rPr>
          <w:rFonts w:cs="Arial"/>
          <w:b/>
        </w:rPr>
        <w:t xml:space="preserve">ederal, </w:t>
      </w:r>
      <w:r w:rsidR="00BA463A" w:rsidRPr="000408D6">
        <w:rPr>
          <w:rFonts w:cs="Arial"/>
          <w:b/>
        </w:rPr>
        <w:t>S</w:t>
      </w:r>
      <w:r w:rsidR="002130EE" w:rsidRPr="000408D6">
        <w:rPr>
          <w:rFonts w:cs="Arial"/>
          <w:b/>
        </w:rPr>
        <w:t>tate and/or local rules, regulations, procedures, and/or reporting requirements.</w:t>
      </w:r>
    </w:p>
    <w:p w14:paraId="629C740E" w14:textId="359BBCAD" w:rsidR="006D5408" w:rsidRPr="000408D6" w:rsidRDefault="006D5408" w:rsidP="00E476FA">
      <w:pPr>
        <w:rPr>
          <w:rFonts w:cs="Arial"/>
        </w:rPr>
      </w:pPr>
      <w:r w:rsidRPr="000408D6">
        <w:rPr>
          <w:rFonts w:cs="Arial"/>
        </w:rPr>
        <w:t xml:space="preserve">The proposals submitted in response to the </w:t>
      </w:r>
      <w:r w:rsidR="001163EE" w:rsidRPr="000408D6">
        <w:rPr>
          <w:rFonts w:cs="Arial"/>
        </w:rPr>
        <w:t>NOFA</w:t>
      </w:r>
      <w:r w:rsidR="00D74F58" w:rsidRPr="000408D6">
        <w:rPr>
          <w:rFonts w:cs="Arial"/>
        </w:rPr>
        <w:t xml:space="preserve"> </w:t>
      </w:r>
      <w:r w:rsidR="00BA463A" w:rsidRPr="000408D6">
        <w:rPr>
          <w:rFonts w:cs="Arial"/>
        </w:rPr>
        <w:t xml:space="preserve">must align with the goals outlined in </w:t>
      </w:r>
      <w:r w:rsidR="00D74F58" w:rsidRPr="000408D6">
        <w:rPr>
          <w:rFonts w:cs="Arial"/>
        </w:rPr>
        <w:t>the City’s</w:t>
      </w:r>
      <w:r w:rsidR="00AE6DC6" w:rsidRPr="000408D6">
        <w:rPr>
          <w:rFonts w:cs="Arial"/>
        </w:rPr>
        <w:t xml:space="preserve"> </w:t>
      </w:r>
      <w:r w:rsidR="006844FF">
        <w:rPr>
          <w:rFonts w:cs="Arial"/>
        </w:rPr>
        <w:t>2025 – 2029</w:t>
      </w:r>
      <w:r w:rsidR="009F709D" w:rsidRPr="000408D6">
        <w:rPr>
          <w:rFonts w:cs="Arial"/>
        </w:rPr>
        <w:t xml:space="preserve"> </w:t>
      </w:r>
      <w:r w:rsidRPr="000408D6">
        <w:rPr>
          <w:rFonts w:cs="Arial"/>
        </w:rPr>
        <w:t>Consolidated Plan</w:t>
      </w:r>
      <w:r w:rsidR="00FC1B37">
        <w:rPr>
          <w:rFonts w:cs="Arial"/>
        </w:rPr>
        <w:t xml:space="preserve"> which</w:t>
      </w:r>
      <w:r w:rsidR="006F6116" w:rsidRPr="000408D6">
        <w:rPr>
          <w:rFonts w:cs="Arial"/>
        </w:rPr>
        <w:t xml:space="preserve"> included the</w:t>
      </w:r>
      <w:r w:rsidR="00EC0950" w:rsidRPr="000408D6">
        <w:rPr>
          <w:rFonts w:cs="Arial"/>
        </w:rPr>
        <w:t xml:space="preserve"> provision of services to residents and housing providers to advance fair housing as a priority in response to community input</w:t>
      </w:r>
      <w:r w:rsidR="006F6116" w:rsidRPr="000408D6">
        <w:rPr>
          <w:rFonts w:cs="Arial"/>
        </w:rPr>
        <w:t>.</w:t>
      </w:r>
      <w:r w:rsidR="001047E9" w:rsidRPr="000408D6">
        <w:rPr>
          <w:rFonts w:cs="Arial"/>
        </w:rPr>
        <w:t xml:space="preserve"> </w:t>
      </w:r>
      <w:r w:rsidR="00EC0950" w:rsidRPr="000408D6">
        <w:rPr>
          <w:rFonts w:cs="Arial"/>
        </w:rPr>
        <w:t xml:space="preserve">Further, proposals should also address one or more of the recommended actions outlined in the </w:t>
      </w:r>
      <w:r w:rsidR="00FB26BF" w:rsidRPr="000408D6">
        <w:rPr>
          <w:rFonts w:cs="Arial"/>
        </w:rPr>
        <w:t xml:space="preserve">2025 </w:t>
      </w:r>
      <w:r w:rsidR="00EC0950" w:rsidRPr="000408D6">
        <w:rPr>
          <w:rFonts w:cs="Arial"/>
        </w:rPr>
        <w:t>Analysis of Impediments to Fair Housing Choice</w:t>
      </w:r>
      <w:r w:rsidR="00FB26BF" w:rsidRPr="000408D6">
        <w:rPr>
          <w:rFonts w:cs="Arial"/>
        </w:rPr>
        <w:t xml:space="preserve">. </w:t>
      </w:r>
      <w:r w:rsidR="006210D1" w:rsidRPr="000408D6">
        <w:rPr>
          <w:rFonts w:cs="Arial"/>
        </w:rPr>
        <w:t xml:space="preserve"> </w:t>
      </w:r>
    </w:p>
    <w:p w14:paraId="51FFB086" w14:textId="72973976" w:rsidR="00EC0950" w:rsidRPr="000408D6" w:rsidRDefault="00EC0950" w:rsidP="00EC0950">
      <w:pPr>
        <w:rPr>
          <w:rFonts w:cs="Arial"/>
        </w:rPr>
      </w:pPr>
      <w:r w:rsidRPr="000408D6">
        <w:rPr>
          <w:rFonts w:cs="Arial"/>
        </w:rPr>
        <w:t xml:space="preserve">Funds allocated for Fair Housing as part of the </w:t>
      </w:r>
      <w:r w:rsidR="00FC1B37">
        <w:rPr>
          <w:rFonts w:cs="Arial"/>
        </w:rPr>
        <w:t xml:space="preserve">2026 </w:t>
      </w:r>
      <w:r w:rsidR="006844FF">
        <w:rPr>
          <w:rFonts w:cs="Arial"/>
        </w:rPr>
        <w:t xml:space="preserve">– </w:t>
      </w:r>
      <w:r w:rsidR="00FC1B37">
        <w:rPr>
          <w:rFonts w:cs="Arial"/>
        </w:rPr>
        <w:t xml:space="preserve">2027 </w:t>
      </w:r>
      <w:r w:rsidRPr="000408D6">
        <w:rPr>
          <w:rFonts w:cs="Arial"/>
        </w:rPr>
        <w:t>Annual Action Plan are from the City’s Community Development Block Grant (CDBG) allocation.</w:t>
      </w:r>
    </w:p>
    <w:p w14:paraId="1C68CA8A" w14:textId="028E1A47" w:rsidR="006D5408" w:rsidRPr="000408D6" w:rsidRDefault="006D5408" w:rsidP="002D51A3">
      <w:pPr>
        <w:pStyle w:val="ListParagraph"/>
        <w:numPr>
          <w:ilvl w:val="0"/>
          <w:numId w:val="4"/>
        </w:numPr>
        <w:rPr>
          <w:rFonts w:cs="Arial"/>
        </w:rPr>
      </w:pPr>
      <w:r w:rsidRPr="000408D6">
        <w:rPr>
          <w:rFonts w:cs="Arial"/>
          <w:b/>
          <w:bCs/>
          <w:u w:val="single"/>
        </w:rPr>
        <w:t>Community Development Block Grant (CDBG)</w:t>
      </w:r>
      <w:r w:rsidR="00C10875" w:rsidRPr="000408D6">
        <w:rPr>
          <w:rFonts w:cs="Arial"/>
        </w:rPr>
        <w:br/>
      </w:r>
      <w:r w:rsidRPr="000408D6">
        <w:rPr>
          <w:rFonts w:cs="Arial"/>
        </w:rPr>
        <w:t>Since 1974, the CDBG Program has provided a flexible source of annual funding to</w:t>
      </w:r>
      <w:r w:rsidR="00F93548" w:rsidRPr="000408D6">
        <w:rPr>
          <w:rFonts w:cs="Arial"/>
        </w:rPr>
        <w:t xml:space="preserve"> </w:t>
      </w:r>
      <w:r w:rsidRPr="000408D6">
        <w:rPr>
          <w:rFonts w:cs="Arial"/>
        </w:rPr>
        <w:t xml:space="preserve">communities nationwide. The program offers local governments, with citizen participation, the opportunity to fund certain projects, programs, and/or public services provided that these meet one of the following three National Objectives: </w:t>
      </w:r>
      <w:r w:rsidR="00092867" w:rsidRPr="000408D6">
        <w:rPr>
          <w:rFonts w:cs="Arial"/>
        </w:rPr>
        <w:t>1) b</w:t>
      </w:r>
      <w:r w:rsidRPr="000408D6">
        <w:rPr>
          <w:rFonts w:cs="Arial"/>
        </w:rPr>
        <w:t xml:space="preserve">enefit low/moderate-income (LMI) </w:t>
      </w:r>
      <w:proofErr w:type="gramStart"/>
      <w:r w:rsidRPr="000408D6">
        <w:rPr>
          <w:rFonts w:cs="Arial"/>
        </w:rPr>
        <w:t>persons</w:t>
      </w:r>
      <w:proofErr w:type="gramEnd"/>
      <w:r w:rsidR="00092867" w:rsidRPr="000408D6">
        <w:rPr>
          <w:rFonts w:cs="Arial"/>
        </w:rPr>
        <w:t>; 2) p</w:t>
      </w:r>
      <w:r w:rsidRPr="000408D6">
        <w:rPr>
          <w:rFonts w:cs="Arial"/>
        </w:rPr>
        <w:t>revent or eliminate slums and blight</w:t>
      </w:r>
      <w:r w:rsidR="00092867" w:rsidRPr="000408D6">
        <w:rPr>
          <w:rFonts w:cs="Arial"/>
        </w:rPr>
        <w:t>; or 3) m</w:t>
      </w:r>
      <w:r w:rsidRPr="000408D6">
        <w:rPr>
          <w:rFonts w:cs="Arial"/>
        </w:rPr>
        <w:t>eet</w:t>
      </w:r>
      <w:r w:rsidR="00092867" w:rsidRPr="000408D6">
        <w:rPr>
          <w:rFonts w:cs="Arial"/>
        </w:rPr>
        <w:t>s</w:t>
      </w:r>
      <w:r w:rsidRPr="000408D6">
        <w:rPr>
          <w:rFonts w:cs="Arial"/>
        </w:rPr>
        <w:t xml:space="preserve"> an urgent need</w:t>
      </w:r>
      <w:r w:rsidR="00092867" w:rsidRPr="000408D6">
        <w:rPr>
          <w:rFonts w:cs="Arial"/>
        </w:rPr>
        <w:t xml:space="preserve">. </w:t>
      </w:r>
      <w:r w:rsidRPr="000408D6">
        <w:rPr>
          <w:rFonts w:cs="Arial"/>
        </w:rPr>
        <w:t xml:space="preserve">In the case of the </w:t>
      </w:r>
      <w:proofErr w:type="gramStart"/>
      <w:r w:rsidR="00092867" w:rsidRPr="000408D6">
        <w:rPr>
          <w:rFonts w:cs="Arial"/>
        </w:rPr>
        <w:t>City</w:t>
      </w:r>
      <w:proofErr w:type="gramEnd"/>
      <w:r w:rsidRPr="000408D6">
        <w:rPr>
          <w:rFonts w:cs="Arial"/>
        </w:rPr>
        <w:t>, all CDBG-funded projects and programs must meet the National Object</w:t>
      </w:r>
      <w:r w:rsidR="00C10875" w:rsidRPr="000408D6">
        <w:rPr>
          <w:rFonts w:cs="Arial"/>
        </w:rPr>
        <w:t xml:space="preserve">ive of </w:t>
      </w:r>
      <w:r w:rsidR="00FB26BF" w:rsidRPr="000408D6">
        <w:rPr>
          <w:rFonts w:cs="Arial"/>
        </w:rPr>
        <w:t>benefiting</w:t>
      </w:r>
      <w:r w:rsidR="00C10875" w:rsidRPr="000408D6">
        <w:rPr>
          <w:rFonts w:cs="Arial"/>
        </w:rPr>
        <w:t xml:space="preserve"> LMI </w:t>
      </w:r>
      <w:proofErr w:type="gramStart"/>
      <w:r w:rsidR="00C10875" w:rsidRPr="000408D6">
        <w:rPr>
          <w:rFonts w:cs="Arial"/>
        </w:rPr>
        <w:t>persons</w:t>
      </w:r>
      <w:proofErr w:type="gramEnd"/>
      <w:r w:rsidR="00C10875" w:rsidRPr="000408D6">
        <w:rPr>
          <w:rFonts w:cs="Arial"/>
        </w:rPr>
        <w:t>.</w:t>
      </w:r>
    </w:p>
    <w:p w14:paraId="4F258131" w14:textId="77777777" w:rsidR="006F6116" w:rsidRPr="000408D6" w:rsidRDefault="006F6116">
      <w:pPr>
        <w:spacing w:after="0"/>
        <w:rPr>
          <w:rFonts w:eastAsia="Arial" w:cs="Arial"/>
          <w:b/>
        </w:rPr>
      </w:pPr>
      <w:bookmarkStart w:id="6" w:name="_Toc40977711"/>
      <w:r w:rsidRPr="000408D6">
        <w:rPr>
          <w:rFonts w:cs="Arial"/>
        </w:rPr>
        <w:br w:type="page"/>
      </w:r>
    </w:p>
    <w:p w14:paraId="330BF31D" w14:textId="10C0CA81" w:rsidR="00A005E3" w:rsidRPr="000408D6" w:rsidRDefault="00A005E3" w:rsidP="00A005E3">
      <w:pPr>
        <w:pStyle w:val="Heading1"/>
        <w:rPr>
          <w:sz w:val="24"/>
        </w:rPr>
      </w:pPr>
      <w:bookmarkStart w:id="7" w:name="_Toc101449201"/>
      <w:r w:rsidRPr="000408D6">
        <w:rPr>
          <w:sz w:val="24"/>
        </w:rPr>
        <w:lastRenderedPageBreak/>
        <w:t>Invitation</w:t>
      </w:r>
      <w:bookmarkEnd w:id="6"/>
      <w:bookmarkEnd w:id="7"/>
    </w:p>
    <w:p w14:paraId="6C7A690A" w14:textId="38D995C2" w:rsidR="00A005E3" w:rsidRPr="00B70526" w:rsidRDefault="006D5408" w:rsidP="00A005E3">
      <w:pPr>
        <w:rPr>
          <w:rFonts w:eastAsia="Book Antiqua" w:cs="Arial"/>
        </w:rPr>
      </w:pPr>
      <w:r w:rsidRPr="000408D6">
        <w:rPr>
          <w:rFonts w:eastAsia="Book Antiqua" w:cs="Arial"/>
        </w:rPr>
        <w:t xml:space="preserve">The </w:t>
      </w:r>
      <w:r w:rsidR="00A005E3" w:rsidRPr="000408D6">
        <w:rPr>
          <w:rFonts w:eastAsia="Book Antiqua" w:cs="Arial"/>
        </w:rPr>
        <w:t>City</w:t>
      </w:r>
      <w:r w:rsidRPr="000408D6">
        <w:rPr>
          <w:rFonts w:eastAsia="Book Antiqua" w:cs="Arial"/>
        </w:rPr>
        <w:t xml:space="preserve"> invites interested nonprofit organizations and eligible go</w:t>
      </w:r>
      <w:r w:rsidR="00A005E3" w:rsidRPr="000408D6">
        <w:rPr>
          <w:rFonts w:eastAsia="Book Antiqua" w:cs="Arial"/>
        </w:rPr>
        <w:t>vernmental entities to submit proposals</w:t>
      </w:r>
      <w:r w:rsidRPr="000408D6">
        <w:rPr>
          <w:rFonts w:eastAsia="Book Antiqua" w:cs="Arial"/>
        </w:rPr>
        <w:t xml:space="preserve"> for funding for the </w:t>
      </w:r>
      <w:r w:rsidR="00E030C9">
        <w:rPr>
          <w:rFonts w:eastAsia="Book Antiqua" w:cs="Arial"/>
        </w:rPr>
        <w:t xml:space="preserve">2026 – 2027 </w:t>
      </w:r>
      <w:r w:rsidR="00692601" w:rsidRPr="000408D6">
        <w:rPr>
          <w:rFonts w:eastAsia="Book Antiqua" w:cs="Arial"/>
        </w:rPr>
        <w:t>program year</w:t>
      </w:r>
      <w:r w:rsidRPr="000408D6">
        <w:rPr>
          <w:rFonts w:eastAsia="Book Antiqua" w:cs="Arial"/>
        </w:rPr>
        <w:t xml:space="preserve">. This funding invitation </w:t>
      </w:r>
      <w:r w:rsidRPr="00B70526">
        <w:rPr>
          <w:rFonts w:eastAsia="Book Antiqua" w:cs="Arial"/>
        </w:rPr>
        <w:t>seeks proposals for programs, services, projects, and activities that</w:t>
      </w:r>
      <w:r w:rsidR="00A005E3" w:rsidRPr="00B70526">
        <w:rPr>
          <w:rFonts w:eastAsia="Book Antiqua" w:cs="Arial"/>
        </w:rPr>
        <w:t>:</w:t>
      </w:r>
      <w:r w:rsidRPr="00B70526">
        <w:rPr>
          <w:rFonts w:eastAsia="Book Antiqua" w:cs="Arial"/>
        </w:rPr>
        <w:t xml:space="preserve"> </w:t>
      </w:r>
    </w:p>
    <w:p w14:paraId="2F1C85BE" w14:textId="221D6B78" w:rsidR="00A005E3" w:rsidRPr="00B70526" w:rsidRDefault="00A005E3" w:rsidP="00490ED0">
      <w:pPr>
        <w:pStyle w:val="ListParagraph"/>
        <w:numPr>
          <w:ilvl w:val="0"/>
          <w:numId w:val="5"/>
        </w:numPr>
        <w:spacing w:after="0"/>
        <w:rPr>
          <w:rFonts w:eastAsia="Book Antiqua" w:cs="Arial"/>
        </w:rPr>
      </w:pPr>
      <w:r w:rsidRPr="00B70526">
        <w:rPr>
          <w:rFonts w:eastAsia="Book Antiqua" w:cs="Arial"/>
        </w:rPr>
        <w:t xml:space="preserve">Address </w:t>
      </w:r>
      <w:r w:rsidR="00EC0950" w:rsidRPr="00B70526">
        <w:rPr>
          <w:rFonts w:eastAsia="Book Antiqua" w:cs="Arial"/>
        </w:rPr>
        <w:t xml:space="preserve">the fair housing priority </w:t>
      </w:r>
      <w:r w:rsidRPr="00B70526">
        <w:rPr>
          <w:rFonts w:eastAsia="Book Antiqua" w:cs="Arial"/>
        </w:rPr>
        <w:t xml:space="preserve">outlined in the </w:t>
      </w:r>
      <w:r w:rsidR="006844FF" w:rsidRPr="00B70526">
        <w:rPr>
          <w:rFonts w:eastAsia="Book Antiqua" w:cs="Arial"/>
        </w:rPr>
        <w:t>2025 – 2029</w:t>
      </w:r>
      <w:r w:rsidR="00692601" w:rsidRPr="00B70526">
        <w:rPr>
          <w:rFonts w:eastAsia="Book Antiqua" w:cs="Arial"/>
        </w:rPr>
        <w:t xml:space="preserve"> Consolidated Plan, </w:t>
      </w:r>
      <w:proofErr w:type="gramStart"/>
      <w:r w:rsidR="00692601" w:rsidRPr="00B70526">
        <w:rPr>
          <w:rFonts w:eastAsia="Book Antiqua" w:cs="Arial"/>
        </w:rPr>
        <w:t>and;</w:t>
      </w:r>
      <w:proofErr w:type="gramEnd"/>
      <w:r w:rsidR="00692601" w:rsidRPr="00B70526">
        <w:rPr>
          <w:rFonts w:eastAsia="Book Antiqua" w:cs="Arial"/>
        </w:rPr>
        <w:t xml:space="preserve"> </w:t>
      </w:r>
    </w:p>
    <w:p w14:paraId="31E143E8" w14:textId="77777777" w:rsidR="00DE4427" w:rsidRPr="00B70526" w:rsidRDefault="00DE4427" w:rsidP="00DE4427">
      <w:pPr>
        <w:spacing w:after="0"/>
        <w:rPr>
          <w:rFonts w:eastAsia="Book Antiqua" w:cs="Arial"/>
        </w:rPr>
      </w:pPr>
    </w:p>
    <w:p w14:paraId="4D749FB8" w14:textId="49A80638" w:rsidR="00EC0950" w:rsidRPr="00B70526" w:rsidRDefault="00EC0950" w:rsidP="00490ED0">
      <w:pPr>
        <w:pStyle w:val="ListParagraph"/>
        <w:numPr>
          <w:ilvl w:val="0"/>
          <w:numId w:val="5"/>
        </w:numPr>
        <w:spacing w:after="0"/>
        <w:rPr>
          <w:rFonts w:eastAsia="Book Antiqua" w:cs="Arial"/>
        </w:rPr>
      </w:pPr>
      <w:r w:rsidRPr="00B70526">
        <w:rPr>
          <w:rFonts w:eastAsia="Book Antiqua" w:cs="Arial"/>
        </w:rPr>
        <w:t>Address one or more of the recommendations outlined in the</w:t>
      </w:r>
      <w:r w:rsidR="00692601" w:rsidRPr="00B70526">
        <w:rPr>
          <w:rFonts w:eastAsia="Book Antiqua" w:cs="Arial"/>
        </w:rPr>
        <w:t xml:space="preserve"> 2025 Analysis of Impediments to Fair Housing Choice</w:t>
      </w:r>
      <w:r w:rsidR="008F01D0" w:rsidRPr="00B70526">
        <w:rPr>
          <w:rFonts w:eastAsia="Book Antiqua" w:cs="Arial"/>
        </w:rPr>
        <w:t xml:space="preserve">, </w:t>
      </w:r>
      <w:proofErr w:type="gramStart"/>
      <w:r w:rsidRPr="00B70526">
        <w:rPr>
          <w:rFonts w:eastAsia="Book Antiqua" w:cs="Arial"/>
        </w:rPr>
        <w:t>and;</w:t>
      </w:r>
      <w:proofErr w:type="gramEnd"/>
    </w:p>
    <w:p w14:paraId="73D4BFED" w14:textId="77777777" w:rsidR="00DE4427" w:rsidRPr="00B70526" w:rsidRDefault="00DE4427" w:rsidP="00DE4427">
      <w:pPr>
        <w:spacing w:after="0"/>
        <w:rPr>
          <w:rFonts w:eastAsia="Book Antiqua" w:cs="Arial"/>
        </w:rPr>
      </w:pPr>
    </w:p>
    <w:p w14:paraId="5E884E45" w14:textId="07E9DF6E" w:rsidR="00A005E3" w:rsidRPr="00B70526" w:rsidRDefault="00A005E3" w:rsidP="00490ED0">
      <w:pPr>
        <w:pStyle w:val="ListParagraph"/>
        <w:numPr>
          <w:ilvl w:val="0"/>
          <w:numId w:val="5"/>
        </w:numPr>
        <w:spacing w:after="0"/>
        <w:rPr>
          <w:rFonts w:eastAsia="Book Antiqua" w:cs="Arial"/>
        </w:rPr>
      </w:pPr>
      <w:r w:rsidRPr="00B70526">
        <w:rPr>
          <w:rFonts w:eastAsia="Book Antiqua" w:cs="Arial"/>
        </w:rPr>
        <w:t xml:space="preserve">Consist of eligible activities according to </w:t>
      </w:r>
      <w:hyperlink r:id="rId13" w:history="1">
        <w:r w:rsidR="00BC210F" w:rsidRPr="00B70526">
          <w:rPr>
            <w:rStyle w:val="Hyperlink"/>
            <w:rFonts w:cs="Arial"/>
          </w:rPr>
          <w:t>24 CFR 570</w:t>
        </w:r>
      </w:hyperlink>
      <w:r w:rsidR="00BC210F" w:rsidRPr="00B70526">
        <w:rPr>
          <w:rFonts w:cs="Arial"/>
        </w:rPr>
        <w:t xml:space="preserve"> and </w:t>
      </w:r>
      <w:hyperlink r:id="rId14" w:history="1">
        <w:r w:rsidR="00BC210F" w:rsidRPr="00B70526">
          <w:rPr>
            <w:rStyle w:val="Hyperlink"/>
            <w:rFonts w:cs="Arial"/>
          </w:rPr>
          <w:t>2 CFR 200</w:t>
        </w:r>
      </w:hyperlink>
      <w:r w:rsidR="00BC210F" w:rsidRPr="00B70526">
        <w:rPr>
          <w:rFonts w:cs="Arial"/>
        </w:rPr>
        <w:t xml:space="preserve"> </w:t>
      </w:r>
      <w:r w:rsidRPr="00B70526">
        <w:rPr>
          <w:rFonts w:eastAsia="Book Antiqua" w:cs="Arial"/>
        </w:rPr>
        <w:t xml:space="preserve">federal regulations governing </w:t>
      </w:r>
      <w:r w:rsidR="004B0627" w:rsidRPr="00B70526">
        <w:rPr>
          <w:rFonts w:eastAsia="Book Antiqua" w:cs="Arial"/>
        </w:rPr>
        <w:t xml:space="preserve">CDBG </w:t>
      </w:r>
      <w:r w:rsidR="008F01D0" w:rsidRPr="00B70526">
        <w:rPr>
          <w:rFonts w:eastAsia="Book Antiqua" w:cs="Arial"/>
        </w:rPr>
        <w:t>Community Services</w:t>
      </w:r>
      <w:r w:rsidR="005874EE" w:rsidRPr="00B70526">
        <w:rPr>
          <w:rFonts w:eastAsia="Book Antiqua" w:cs="Arial"/>
        </w:rPr>
        <w:t xml:space="preserve"> </w:t>
      </w:r>
      <w:r w:rsidR="004B0627" w:rsidRPr="00B70526">
        <w:rPr>
          <w:rFonts w:eastAsia="Book Antiqua" w:cs="Arial"/>
        </w:rPr>
        <w:t>activities</w:t>
      </w:r>
      <w:r w:rsidR="002924D1" w:rsidRPr="00B70526">
        <w:rPr>
          <w:rFonts w:eastAsia="Book Antiqua" w:cs="Arial"/>
        </w:rPr>
        <w:t>.</w:t>
      </w:r>
    </w:p>
    <w:p w14:paraId="35A68836" w14:textId="77777777" w:rsidR="00490ED0" w:rsidRPr="000408D6" w:rsidRDefault="00490ED0" w:rsidP="00490ED0">
      <w:pPr>
        <w:pStyle w:val="ListParagraph"/>
        <w:spacing w:after="0"/>
        <w:rPr>
          <w:rFonts w:eastAsia="Book Antiqua" w:cs="Arial"/>
        </w:rPr>
      </w:pPr>
    </w:p>
    <w:p w14:paraId="2E2F9FC8" w14:textId="0D671242" w:rsidR="00386DBB" w:rsidRPr="000408D6" w:rsidRDefault="002924D1" w:rsidP="00E476FA">
      <w:pPr>
        <w:rPr>
          <w:rFonts w:eastAsia="Book Antiqua" w:cs="Arial"/>
        </w:rPr>
      </w:pPr>
      <w:r w:rsidRPr="000408D6">
        <w:rPr>
          <w:rFonts w:eastAsia="Book Antiqua" w:cs="Arial"/>
        </w:rPr>
        <w:t>An organization’s completed application includes one Part A (</w:t>
      </w:r>
      <w:r w:rsidR="004A5634" w:rsidRPr="000408D6">
        <w:rPr>
          <w:rFonts w:eastAsia="Book Antiqua" w:cs="Arial"/>
        </w:rPr>
        <w:t>Cover Page</w:t>
      </w:r>
      <w:r w:rsidRPr="000408D6">
        <w:rPr>
          <w:rFonts w:eastAsia="Book Antiqua" w:cs="Arial"/>
        </w:rPr>
        <w:t xml:space="preserve">), and one Part B </w:t>
      </w:r>
      <w:r w:rsidR="00A62E98" w:rsidRPr="000408D6">
        <w:rPr>
          <w:rFonts w:eastAsia="Book Antiqua" w:cs="Arial"/>
        </w:rPr>
        <w:t xml:space="preserve">(Fair Housing) </w:t>
      </w:r>
      <w:r w:rsidRPr="000408D6">
        <w:rPr>
          <w:rFonts w:eastAsia="Book Antiqua" w:cs="Arial"/>
        </w:rPr>
        <w:t xml:space="preserve">Application including all relevant exhibits and attachments. The </w:t>
      </w:r>
      <w:proofErr w:type="gramStart"/>
      <w:r w:rsidRPr="000408D6">
        <w:rPr>
          <w:rFonts w:eastAsia="Book Antiqua" w:cs="Arial"/>
        </w:rPr>
        <w:t>City</w:t>
      </w:r>
      <w:proofErr w:type="gramEnd"/>
      <w:r w:rsidRPr="000408D6">
        <w:rPr>
          <w:rFonts w:eastAsia="Book Antiqua" w:cs="Arial"/>
        </w:rPr>
        <w:t xml:space="preserve"> has prepared </w:t>
      </w:r>
      <w:r w:rsidR="004B0627" w:rsidRPr="000408D6">
        <w:rPr>
          <w:rFonts w:eastAsia="Book Antiqua" w:cs="Arial"/>
        </w:rPr>
        <w:t xml:space="preserve">a </w:t>
      </w:r>
      <w:r w:rsidRPr="000408D6">
        <w:rPr>
          <w:rFonts w:eastAsia="Book Antiqua" w:cs="Arial"/>
        </w:rPr>
        <w:t xml:space="preserve">Part B Application </w:t>
      </w:r>
      <w:r w:rsidR="004B0627" w:rsidRPr="000408D6">
        <w:rPr>
          <w:rFonts w:eastAsia="Book Antiqua" w:cs="Arial"/>
        </w:rPr>
        <w:t xml:space="preserve">type </w:t>
      </w:r>
      <w:r w:rsidRPr="000408D6">
        <w:rPr>
          <w:rFonts w:eastAsia="Book Antiqua" w:cs="Arial"/>
        </w:rPr>
        <w:t xml:space="preserve">corresponding to </w:t>
      </w:r>
      <w:r w:rsidR="004B0627" w:rsidRPr="000408D6">
        <w:rPr>
          <w:rFonts w:eastAsia="Book Antiqua" w:cs="Arial"/>
        </w:rPr>
        <w:t xml:space="preserve">the </w:t>
      </w:r>
      <w:r w:rsidR="00EC0950" w:rsidRPr="000408D6">
        <w:rPr>
          <w:rFonts w:eastAsia="Book Antiqua" w:cs="Arial"/>
        </w:rPr>
        <w:t xml:space="preserve">fair housing </w:t>
      </w:r>
      <w:r w:rsidRPr="000408D6">
        <w:rPr>
          <w:rFonts w:eastAsia="Book Antiqua" w:cs="Arial"/>
        </w:rPr>
        <w:t>programmatic requirements to allow for a standardized method of evaluation based on the type of</w:t>
      </w:r>
      <w:r w:rsidR="004B0627" w:rsidRPr="000408D6">
        <w:rPr>
          <w:rFonts w:eastAsia="Book Antiqua" w:cs="Arial"/>
        </w:rPr>
        <w:t xml:space="preserve"> program, project, or activity.</w:t>
      </w:r>
    </w:p>
    <w:p w14:paraId="3393BAF3" w14:textId="1D0979E1" w:rsidR="004A5634" w:rsidRPr="000408D6" w:rsidRDefault="004A5634" w:rsidP="00E476FA">
      <w:pPr>
        <w:rPr>
          <w:rFonts w:eastAsia="Book Antiqua" w:cs="Arial"/>
        </w:rPr>
      </w:pPr>
      <w:r w:rsidRPr="000408D6">
        <w:rPr>
          <w:rFonts w:eastAsia="Book Antiqua" w:cs="Arial"/>
        </w:rPr>
        <w:t xml:space="preserve">Please note that the final annual entitlement allocation has not been announced </w:t>
      </w:r>
      <w:r w:rsidR="00490ED0" w:rsidRPr="000408D6">
        <w:rPr>
          <w:rFonts w:eastAsia="Book Antiqua" w:cs="Arial"/>
        </w:rPr>
        <w:t xml:space="preserve">by </w:t>
      </w:r>
      <w:r w:rsidRPr="000408D6">
        <w:rPr>
          <w:rFonts w:eastAsia="Book Antiqua" w:cs="Arial"/>
        </w:rPr>
        <w:t xml:space="preserve">HUD as of the date of this NOFA. The final amounts available may increase or decrease based on the final announcement. </w:t>
      </w:r>
    </w:p>
    <w:p w14:paraId="555F8DF4" w14:textId="4626F49E" w:rsidR="00490ED0" w:rsidRPr="000408D6" w:rsidRDefault="00490ED0" w:rsidP="00490ED0">
      <w:pPr>
        <w:suppressAutoHyphens/>
        <w:spacing w:after="0" w:line="259" w:lineRule="auto"/>
        <w:rPr>
          <w:rFonts w:eastAsia="Book Antiqua" w:cs="Arial"/>
        </w:rPr>
      </w:pPr>
      <w:r w:rsidRPr="000408D6">
        <w:rPr>
          <w:rFonts w:eastAsia="Book Antiqua" w:cs="Arial"/>
        </w:rPr>
        <w:t xml:space="preserve">Organizations selected to receive funding through this NOFA will be considered subrecipients in accordance with 2 CFR 200.331. (see e-CFR citation at: </w:t>
      </w:r>
      <w:hyperlink r:id="rId15" w:history="1">
        <w:r w:rsidRPr="000408D6">
          <w:rPr>
            <w:rStyle w:val="Hyperlink"/>
            <w:rFonts w:eastAsia="Book Antiqua" w:cs="Arial"/>
          </w:rPr>
          <w:t>https://www.ecfr.gov/current/title-2/section-200.331</w:t>
        </w:r>
      </w:hyperlink>
      <w:r w:rsidRPr="000408D6">
        <w:rPr>
          <w:rFonts w:eastAsia="Book Antiqua" w:cs="Arial"/>
        </w:rPr>
        <w:t xml:space="preserve">) </w:t>
      </w:r>
    </w:p>
    <w:p w14:paraId="26BAD919" w14:textId="4DD5A880" w:rsidR="00490ED0" w:rsidRPr="000408D6" w:rsidRDefault="00490ED0" w:rsidP="00E476FA">
      <w:pPr>
        <w:rPr>
          <w:rFonts w:eastAsia="Book Antiqua" w:cs="Arial"/>
        </w:rPr>
      </w:pPr>
    </w:p>
    <w:p w14:paraId="74119904" w14:textId="77777777" w:rsidR="002924D1" w:rsidRPr="000408D6" w:rsidRDefault="002924D1" w:rsidP="00E476FA">
      <w:pPr>
        <w:rPr>
          <w:rFonts w:eastAsia="Book Antiqua" w:cs="Arial"/>
        </w:rPr>
      </w:pPr>
    </w:p>
    <w:p w14:paraId="622814BA" w14:textId="77777777" w:rsidR="00386DBB" w:rsidRPr="000408D6" w:rsidRDefault="00386DBB">
      <w:pPr>
        <w:spacing w:after="0"/>
        <w:rPr>
          <w:rFonts w:eastAsia="Arial" w:cs="Arial"/>
          <w:b/>
        </w:rPr>
        <w:sectPr w:rsidR="00386DBB" w:rsidRPr="000408D6" w:rsidSect="00C25E59">
          <w:headerReference w:type="default" r:id="rId16"/>
          <w:footerReference w:type="default" r:id="rId17"/>
          <w:headerReference w:type="first" r:id="rId18"/>
          <w:pgSz w:w="12240" w:h="15840"/>
          <w:pgMar w:top="1440" w:right="1440" w:bottom="1440" w:left="1440" w:header="720" w:footer="634" w:gutter="0"/>
          <w:cols w:space="720"/>
          <w:titlePg/>
          <w:docGrid w:linePitch="326"/>
        </w:sectPr>
      </w:pPr>
    </w:p>
    <w:p w14:paraId="36B02187" w14:textId="66FC92D1" w:rsidR="006D5408" w:rsidRPr="000408D6" w:rsidRDefault="00283E46" w:rsidP="00E476FA">
      <w:pPr>
        <w:pStyle w:val="Heading1"/>
        <w:rPr>
          <w:sz w:val="24"/>
        </w:rPr>
      </w:pPr>
      <w:bookmarkStart w:id="8" w:name="_Toc40977712"/>
      <w:bookmarkStart w:id="9" w:name="_Toc101449202"/>
      <w:r w:rsidRPr="000408D6">
        <w:rPr>
          <w:sz w:val="24"/>
        </w:rPr>
        <w:lastRenderedPageBreak/>
        <w:t>2026</w:t>
      </w:r>
      <w:r w:rsidR="001B08B1">
        <w:rPr>
          <w:sz w:val="24"/>
        </w:rPr>
        <w:t xml:space="preserve"> – 2027</w:t>
      </w:r>
      <w:r w:rsidRPr="000408D6">
        <w:rPr>
          <w:sz w:val="24"/>
        </w:rPr>
        <w:t xml:space="preserve"> </w:t>
      </w:r>
      <w:r w:rsidR="00B660FB" w:rsidRPr="000408D6">
        <w:rPr>
          <w:sz w:val="24"/>
        </w:rPr>
        <w:t xml:space="preserve">Available Funding </w:t>
      </w:r>
      <w:r w:rsidR="00FC1B37">
        <w:rPr>
          <w:sz w:val="24"/>
        </w:rPr>
        <w:t xml:space="preserve">Anticipated </w:t>
      </w:r>
      <w:r w:rsidR="00B660FB" w:rsidRPr="000408D6">
        <w:rPr>
          <w:sz w:val="24"/>
        </w:rPr>
        <w:t>by Project</w:t>
      </w:r>
      <w:bookmarkEnd w:id="8"/>
      <w:bookmarkEnd w:id="9"/>
    </w:p>
    <w:p w14:paraId="1E02F87C" w14:textId="7C9D737D" w:rsidR="007601F4" w:rsidRPr="000408D6" w:rsidRDefault="00B660FB" w:rsidP="00E476FA">
      <w:pPr>
        <w:rPr>
          <w:rFonts w:eastAsia="Book Antiqua" w:cs="Arial"/>
        </w:rPr>
      </w:pPr>
      <w:r w:rsidRPr="000408D6">
        <w:rPr>
          <w:rFonts w:eastAsia="Book Antiqua" w:cs="Arial"/>
        </w:rPr>
        <w:t xml:space="preserve">The City </w:t>
      </w:r>
      <w:r w:rsidR="00283E46" w:rsidRPr="000408D6">
        <w:rPr>
          <w:rFonts w:eastAsia="Book Antiqua" w:cs="Arial"/>
        </w:rPr>
        <w:t xml:space="preserve">may </w:t>
      </w:r>
      <w:r w:rsidRPr="000408D6">
        <w:rPr>
          <w:rFonts w:eastAsia="Book Antiqua" w:cs="Arial"/>
        </w:rPr>
        <w:t>award HUD funds to governmental entities, both internal and external, and nonprofit subrecipients</w:t>
      </w:r>
      <w:r w:rsidR="00283E46" w:rsidRPr="000408D6">
        <w:rPr>
          <w:rFonts w:eastAsia="Book Antiqua" w:cs="Arial"/>
        </w:rPr>
        <w:t xml:space="preserve"> eligible exclusively under </w:t>
      </w:r>
      <w:r w:rsidR="007A19E1" w:rsidRPr="000408D6">
        <w:rPr>
          <w:rFonts w:eastAsia="Book Antiqua" w:cs="Arial"/>
        </w:rPr>
        <w:t xml:space="preserve">public and </w:t>
      </w:r>
      <w:r w:rsidR="00283E46" w:rsidRPr="000408D6">
        <w:rPr>
          <w:rFonts w:eastAsia="Book Antiqua" w:cs="Arial"/>
        </w:rPr>
        <w:t>community services</w:t>
      </w:r>
      <w:r w:rsidRPr="000408D6">
        <w:rPr>
          <w:rFonts w:eastAsia="Book Antiqua" w:cs="Arial"/>
        </w:rPr>
        <w:t>. The following CDBG</w:t>
      </w:r>
      <w:r w:rsidR="004B0627" w:rsidRPr="000408D6">
        <w:rPr>
          <w:rFonts w:eastAsia="Book Antiqua" w:cs="Arial"/>
        </w:rPr>
        <w:t xml:space="preserve"> allocation</w:t>
      </w:r>
      <w:r w:rsidR="00283E46" w:rsidRPr="000408D6">
        <w:rPr>
          <w:rFonts w:eastAsia="Book Antiqua" w:cs="Arial"/>
        </w:rPr>
        <w:t xml:space="preserve"> will be proposed for the </w:t>
      </w:r>
      <w:r w:rsidR="004B0627" w:rsidRPr="000408D6">
        <w:rPr>
          <w:rFonts w:eastAsia="Book Antiqua" w:cs="Arial"/>
        </w:rPr>
        <w:t>following project</w:t>
      </w:r>
      <w:r w:rsidR="00FB0743" w:rsidRPr="000408D6">
        <w:rPr>
          <w:rFonts w:eastAsia="Book Antiqua" w:cs="Arial"/>
        </w:rPr>
        <w:t xml:space="preserve"> </w:t>
      </w:r>
      <w:r w:rsidR="00FC1B37">
        <w:rPr>
          <w:rFonts w:eastAsia="Book Antiqua" w:cs="Arial"/>
        </w:rPr>
        <w:t xml:space="preserve">through </w:t>
      </w:r>
      <w:r w:rsidR="00FB0743" w:rsidRPr="000408D6">
        <w:rPr>
          <w:rFonts w:eastAsia="Book Antiqua" w:cs="Arial"/>
        </w:rPr>
        <w:t>the</w:t>
      </w:r>
      <w:r w:rsidR="00283E46" w:rsidRPr="000408D6">
        <w:rPr>
          <w:rFonts w:eastAsia="Book Antiqua" w:cs="Arial"/>
        </w:rPr>
        <w:t xml:space="preserve"> 2026</w:t>
      </w:r>
      <w:r w:rsidR="001B08B1">
        <w:rPr>
          <w:rFonts w:eastAsia="Book Antiqua" w:cs="Arial"/>
        </w:rPr>
        <w:t xml:space="preserve"> – 2027</w:t>
      </w:r>
      <w:r w:rsidR="00FB0743" w:rsidRPr="000408D6">
        <w:rPr>
          <w:rFonts w:eastAsia="Book Antiqua" w:cs="Arial"/>
        </w:rPr>
        <w:t xml:space="preserve"> </w:t>
      </w:r>
      <w:r w:rsidRPr="000408D6">
        <w:rPr>
          <w:rFonts w:eastAsia="Book Antiqua" w:cs="Arial"/>
        </w:rPr>
        <w:t>Annual Action Plan</w:t>
      </w:r>
      <w:r w:rsidR="00283E46" w:rsidRPr="000408D6">
        <w:rPr>
          <w:rFonts w:eastAsia="Book Antiqua" w:cs="Arial"/>
        </w:rPr>
        <w:t xml:space="preserve">, contingent on the final amount of annual entitlement funding yet to be announced by HUD. </w:t>
      </w:r>
    </w:p>
    <w:p w14:paraId="7303689D" w14:textId="1CD300EF" w:rsidR="00FE0D50" w:rsidRPr="000408D6" w:rsidRDefault="00FE0D50" w:rsidP="00E476FA">
      <w:pPr>
        <w:pStyle w:val="Caption"/>
        <w:keepNext/>
        <w:rPr>
          <w:rFonts w:cs="Arial"/>
          <w:sz w:val="24"/>
          <w:szCs w:val="24"/>
        </w:rPr>
      </w:pPr>
      <w:bookmarkStart w:id="10" w:name="II._General_Information"/>
      <w:bookmarkStart w:id="11" w:name="_bookmark1"/>
      <w:bookmarkEnd w:id="10"/>
      <w:bookmarkEnd w:id="11"/>
      <w:r w:rsidRPr="000408D6">
        <w:rPr>
          <w:rFonts w:cs="Arial"/>
          <w:sz w:val="24"/>
          <w:szCs w:val="24"/>
        </w:rPr>
        <w:t xml:space="preserve">Table </w:t>
      </w:r>
      <w:r w:rsidR="00DD2013" w:rsidRPr="000408D6">
        <w:rPr>
          <w:rFonts w:cs="Arial"/>
          <w:sz w:val="24"/>
          <w:szCs w:val="24"/>
        </w:rPr>
        <w:t xml:space="preserve">1: </w:t>
      </w:r>
      <w:r w:rsidR="00283E46" w:rsidRPr="000408D6">
        <w:rPr>
          <w:rFonts w:cs="Arial"/>
          <w:sz w:val="24"/>
          <w:szCs w:val="24"/>
        </w:rPr>
        <w:t>2026</w:t>
      </w:r>
      <w:r w:rsidR="001B08B1">
        <w:rPr>
          <w:rFonts w:cs="Arial"/>
          <w:sz w:val="24"/>
          <w:szCs w:val="24"/>
        </w:rPr>
        <w:t xml:space="preserve"> – 2027 </w:t>
      </w:r>
      <w:r w:rsidRPr="000408D6">
        <w:rPr>
          <w:rFonts w:cs="Arial"/>
          <w:sz w:val="24"/>
          <w:szCs w:val="24"/>
        </w:rPr>
        <w:t>Available Funding</w:t>
      </w:r>
      <w:r w:rsidR="00FC1B37">
        <w:rPr>
          <w:rFonts w:cs="Arial"/>
          <w:sz w:val="24"/>
          <w:szCs w:val="24"/>
        </w:rPr>
        <w:t xml:space="preserve"> Anticipated</w:t>
      </w:r>
      <w:r w:rsidRPr="000408D6">
        <w:rPr>
          <w:rFonts w:cs="Arial"/>
          <w:sz w:val="24"/>
          <w:szCs w:val="24"/>
        </w:rPr>
        <w:t xml:space="preserve"> by Project</w:t>
      </w:r>
    </w:p>
    <w:tbl>
      <w:tblPr>
        <w:tblStyle w:val="TableGrid"/>
        <w:tblW w:w="12978" w:type="dxa"/>
        <w:tblLayout w:type="fixed"/>
        <w:tblCellMar>
          <w:top w:w="72" w:type="dxa"/>
          <w:left w:w="115" w:type="dxa"/>
          <w:bottom w:w="72" w:type="dxa"/>
          <w:right w:w="115" w:type="dxa"/>
        </w:tblCellMar>
        <w:tblLook w:val="04A0" w:firstRow="1" w:lastRow="0" w:firstColumn="1" w:lastColumn="0" w:noHBand="0" w:noVBand="1"/>
      </w:tblPr>
      <w:tblGrid>
        <w:gridCol w:w="1065"/>
        <w:gridCol w:w="2110"/>
        <w:gridCol w:w="5580"/>
        <w:gridCol w:w="1260"/>
        <w:gridCol w:w="1350"/>
        <w:gridCol w:w="1613"/>
      </w:tblGrid>
      <w:tr w:rsidR="00386DBB" w:rsidRPr="000408D6" w14:paraId="36B335AB" w14:textId="77777777" w:rsidTr="00E476FA">
        <w:trPr>
          <w:tblHeader/>
        </w:trPr>
        <w:tc>
          <w:tcPr>
            <w:tcW w:w="1065" w:type="dxa"/>
            <w:shd w:val="clear" w:color="auto" w:fill="D9D9D9" w:themeFill="background1" w:themeFillShade="D9"/>
            <w:vAlign w:val="center"/>
          </w:tcPr>
          <w:p w14:paraId="64D13862" w14:textId="1B7EB221" w:rsidR="000368AC" w:rsidRPr="000408D6" w:rsidRDefault="000368AC" w:rsidP="00E476FA">
            <w:pPr>
              <w:pStyle w:val="TableText"/>
              <w:rPr>
                <w:rFonts w:cs="Arial"/>
                <w:b/>
              </w:rPr>
            </w:pPr>
            <w:r w:rsidRPr="000408D6">
              <w:rPr>
                <w:rFonts w:cs="Arial"/>
                <w:b/>
              </w:rPr>
              <w:t>IDIS</w:t>
            </w:r>
            <w:r w:rsidR="00283E46" w:rsidRPr="000408D6">
              <w:rPr>
                <w:rFonts w:cs="Arial"/>
                <w:b/>
              </w:rPr>
              <w:t>-</w:t>
            </w:r>
            <w:r w:rsidRPr="000408D6">
              <w:rPr>
                <w:rFonts w:cs="Arial"/>
                <w:b/>
              </w:rPr>
              <w:t xml:space="preserve"> Project </w:t>
            </w:r>
            <w:r w:rsidR="00386DBB" w:rsidRPr="000408D6">
              <w:rPr>
                <w:rFonts w:cs="Arial"/>
                <w:b/>
              </w:rPr>
              <w:t>No.</w:t>
            </w:r>
          </w:p>
        </w:tc>
        <w:tc>
          <w:tcPr>
            <w:tcW w:w="2110" w:type="dxa"/>
            <w:shd w:val="clear" w:color="auto" w:fill="D9D9D9" w:themeFill="background1" w:themeFillShade="D9"/>
            <w:vAlign w:val="center"/>
          </w:tcPr>
          <w:p w14:paraId="496CF06D" w14:textId="77777777" w:rsidR="000368AC" w:rsidRPr="000408D6" w:rsidRDefault="000368AC" w:rsidP="00E476FA">
            <w:pPr>
              <w:pStyle w:val="TableText"/>
              <w:rPr>
                <w:rFonts w:cs="Arial"/>
                <w:b/>
              </w:rPr>
            </w:pPr>
            <w:r w:rsidRPr="000408D6">
              <w:rPr>
                <w:rFonts w:cs="Arial"/>
                <w:b/>
              </w:rPr>
              <w:t>Project Name</w:t>
            </w:r>
          </w:p>
        </w:tc>
        <w:tc>
          <w:tcPr>
            <w:tcW w:w="5580" w:type="dxa"/>
            <w:shd w:val="clear" w:color="auto" w:fill="D9D9D9" w:themeFill="background1" w:themeFillShade="D9"/>
            <w:vAlign w:val="center"/>
          </w:tcPr>
          <w:p w14:paraId="735063DB" w14:textId="77777777" w:rsidR="000368AC" w:rsidRPr="000408D6" w:rsidRDefault="000368AC" w:rsidP="00E476FA">
            <w:pPr>
              <w:pStyle w:val="TableText"/>
              <w:rPr>
                <w:rFonts w:cs="Arial"/>
                <w:b/>
              </w:rPr>
            </w:pPr>
            <w:r w:rsidRPr="000408D6">
              <w:rPr>
                <w:rFonts w:cs="Arial"/>
                <w:b/>
              </w:rPr>
              <w:t>Project Description</w:t>
            </w:r>
          </w:p>
        </w:tc>
        <w:tc>
          <w:tcPr>
            <w:tcW w:w="1260" w:type="dxa"/>
            <w:shd w:val="clear" w:color="auto" w:fill="D9D9D9" w:themeFill="background1" w:themeFillShade="D9"/>
            <w:vAlign w:val="center"/>
          </w:tcPr>
          <w:p w14:paraId="6E13B5BA" w14:textId="77777777" w:rsidR="000368AC" w:rsidRPr="000408D6" w:rsidRDefault="000368AC" w:rsidP="00E476FA">
            <w:pPr>
              <w:pStyle w:val="TableText"/>
              <w:rPr>
                <w:rFonts w:cs="Arial"/>
                <w:b/>
              </w:rPr>
            </w:pPr>
            <w:r w:rsidRPr="000408D6">
              <w:rPr>
                <w:rFonts w:cs="Arial"/>
                <w:b/>
              </w:rPr>
              <w:t>HUD Program</w:t>
            </w:r>
          </w:p>
        </w:tc>
        <w:tc>
          <w:tcPr>
            <w:tcW w:w="1350" w:type="dxa"/>
            <w:shd w:val="clear" w:color="auto" w:fill="D9D9D9" w:themeFill="background1" w:themeFillShade="D9"/>
            <w:vAlign w:val="center"/>
          </w:tcPr>
          <w:p w14:paraId="052F9370" w14:textId="77777777" w:rsidR="000368AC" w:rsidRPr="000408D6" w:rsidRDefault="000368AC" w:rsidP="00E476FA">
            <w:pPr>
              <w:pStyle w:val="TableText"/>
              <w:rPr>
                <w:rFonts w:cs="Arial"/>
                <w:b/>
              </w:rPr>
            </w:pPr>
            <w:r w:rsidRPr="000408D6">
              <w:rPr>
                <w:rFonts w:cs="Arial"/>
                <w:b/>
              </w:rPr>
              <w:t>Funding Available</w:t>
            </w:r>
          </w:p>
        </w:tc>
        <w:tc>
          <w:tcPr>
            <w:tcW w:w="1613" w:type="dxa"/>
            <w:shd w:val="clear" w:color="auto" w:fill="D9D9D9" w:themeFill="background1" w:themeFillShade="D9"/>
            <w:vAlign w:val="center"/>
          </w:tcPr>
          <w:p w14:paraId="0D37F4B3" w14:textId="77777777" w:rsidR="000368AC" w:rsidRPr="000408D6" w:rsidRDefault="000368AC" w:rsidP="00E476FA">
            <w:pPr>
              <w:pStyle w:val="TableText"/>
              <w:rPr>
                <w:rFonts w:cs="Arial"/>
                <w:b/>
              </w:rPr>
            </w:pPr>
            <w:r w:rsidRPr="000408D6">
              <w:rPr>
                <w:rFonts w:cs="Arial"/>
                <w:b/>
              </w:rPr>
              <w:t>Part B Application Required</w:t>
            </w:r>
          </w:p>
        </w:tc>
      </w:tr>
      <w:tr w:rsidR="00EC0950" w:rsidRPr="000408D6" w14:paraId="5DFBA7D9" w14:textId="77777777" w:rsidTr="00EC0950">
        <w:trPr>
          <w:cantSplit/>
          <w:trHeight w:val="255"/>
        </w:trPr>
        <w:tc>
          <w:tcPr>
            <w:tcW w:w="1065" w:type="dxa"/>
            <w:noWrap/>
            <w:vAlign w:val="center"/>
          </w:tcPr>
          <w:p w14:paraId="3D107296" w14:textId="47BCFF9D" w:rsidR="00EC0950" w:rsidRPr="000408D6" w:rsidRDefault="00073019" w:rsidP="00EC0950">
            <w:pPr>
              <w:spacing w:after="0"/>
              <w:jc w:val="center"/>
              <w:rPr>
                <w:rFonts w:cs="Arial"/>
                <w:b/>
                <w:bCs/>
              </w:rPr>
            </w:pPr>
            <w:r w:rsidRPr="000408D6">
              <w:rPr>
                <w:rFonts w:cs="Arial"/>
                <w:b/>
                <w:bCs/>
              </w:rPr>
              <w:t>1</w:t>
            </w:r>
          </w:p>
        </w:tc>
        <w:tc>
          <w:tcPr>
            <w:tcW w:w="2110" w:type="dxa"/>
            <w:noWrap/>
            <w:vAlign w:val="center"/>
          </w:tcPr>
          <w:p w14:paraId="3B08A6E1" w14:textId="74B3D33C" w:rsidR="00EC0950" w:rsidRPr="000408D6" w:rsidRDefault="00EC0950" w:rsidP="00EC0950">
            <w:pPr>
              <w:spacing w:after="0"/>
              <w:rPr>
                <w:rFonts w:cs="Arial"/>
                <w:b/>
                <w:bCs/>
              </w:rPr>
            </w:pPr>
            <w:r w:rsidRPr="000408D6">
              <w:rPr>
                <w:rFonts w:cs="Arial"/>
                <w:b/>
                <w:bCs/>
              </w:rPr>
              <w:t>Fair Housing</w:t>
            </w:r>
          </w:p>
        </w:tc>
        <w:tc>
          <w:tcPr>
            <w:tcW w:w="5580" w:type="dxa"/>
            <w:noWrap/>
            <w:vAlign w:val="center"/>
          </w:tcPr>
          <w:p w14:paraId="55F6DD07" w14:textId="60508BCD" w:rsidR="00EC0950" w:rsidRPr="000408D6" w:rsidRDefault="005C147D" w:rsidP="005C147D">
            <w:pPr>
              <w:spacing w:after="0"/>
              <w:rPr>
                <w:rFonts w:cs="Arial"/>
              </w:rPr>
            </w:pPr>
            <w:r w:rsidRPr="000408D6">
              <w:rPr>
                <w:rFonts w:cs="Arial"/>
              </w:rPr>
              <w:t xml:space="preserve">CDBG </w:t>
            </w:r>
            <w:r w:rsidR="00FC1B37">
              <w:rPr>
                <w:rFonts w:cs="Arial"/>
              </w:rPr>
              <w:t>public services</w:t>
            </w:r>
            <w:r w:rsidR="00FC1B37" w:rsidRPr="000408D6">
              <w:rPr>
                <w:rFonts w:cs="Arial"/>
              </w:rPr>
              <w:t xml:space="preserve"> </w:t>
            </w:r>
            <w:r w:rsidRPr="000408D6">
              <w:rPr>
                <w:rFonts w:cs="Arial"/>
              </w:rPr>
              <w:t>funds will be used to support fair housing outreach, education, and referral services consistent with the recommended activities of the 2025 Analysis of Impediments to Fair Housing Choice</w:t>
            </w:r>
            <w:r w:rsidR="00B70526">
              <w:rPr>
                <w:rFonts w:cs="Arial"/>
              </w:rPr>
              <w:t xml:space="preserve"> that result in a direct benefit to </w:t>
            </w:r>
            <w:proofErr w:type="gramStart"/>
            <w:r w:rsidR="00B70526">
              <w:rPr>
                <w:rFonts w:cs="Arial"/>
              </w:rPr>
              <w:t>persons</w:t>
            </w:r>
            <w:proofErr w:type="gramEnd"/>
            <w:r w:rsidR="00B70526">
              <w:rPr>
                <w:rFonts w:cs="Arial"/>
              </w:rPr>
              <w:t xml:space="preserve"> with low- or moderate-income</w:t>
            </w:r>
            <w:r w:rsidRPr="000408D6">
              <w:rPr>
                <w:rFonts w:cs="Arial"/>
              </w:rPr>
              <w:t>.</w:t>
            </w:r>
          </w:p>
        </w:tc>
        <w:tc>
          <w:tcPr>
            <w:tcW w:w="1260" w:type="dxa"/>
            <w:noWrap/>
            <w:vAlign w:val="center"/>
          </w:tcPr>
          <w:p w14:paraId="7A8A46D5" w14:textId="06F21FF6" w:rsidR="00EC0950" w:rsidRPr="000408D6" w:rsidRDefault="00EC0950" w:rsidP="00EC0950">
            <w:pPr>
              <w:spacing w:after="0"/>
              <w:jc w:val="center"/>
              <w:rPr>
                <w:rFonts w:cs="Arial"/>
              </w:rPr>
            </w:pPr>
            <w:r w:rsidRPr="000408D6">
              <w:rPr>
                <w:rFonts w:cs="Arial"/>
              </w:rPr>
              <w:t>CDBG</w:t>
            </w:r>
          </w:p>
        </w:tc>
        <w:tc>
          <w:tcPr>
            <w:tcW w:w="1350" w:type="dxa"/>
            <w:noWrap/>
            <w:vAlign w:val="center"/>
          </w:tcPr>
          <w:p w14:paraId="25CC4BCC" w14:textId="7380A987" w:rsidR="00EC0950" w:rsidRPr="000408D6" w:rsidRDefault="007A19E1" w:rsidP="00EC0950">
            <w:pPr>
              <w:spacing w:after="0"/>
              <w:jc w:val="center"/>
              <w:rPr>
                <w:rFonts w:cs="Arial"/>
              </w:rPr>
            </w:pPr>
            <w:r w:rsidRPr="000408D6">
              <w:rPr>
                <w:rFonts w:cs="Arial"/>
              </w:rPr>
              <w:t>$</w:t>
            </w:r>
            <w:r w:rsidR="00FB0743" w:rsidRPr="000408D6">
              <w:rPr>
                <w:rFonts w:cs="Arial"/>
              </w:rPr>
              <w:t>50</w:t>
            </w:r>
            <w:r w:rsidR="00EC0950" w:rsidRPr="000408D6">
              <w:rPr>
                <w:rFonts w:cs="Arial"/>
              </w:rPr>
              <w:t>,000</w:t>
            </w:r>
          </w:p>
        </w:tc>
        <w:tc>
          <w:tcPr>
            <w:tcW w:w="1613" w:type="dxa"/>
            <w:noWrap/>
            <w:vAlign w:val="center"/>
          </w:tcPr>
          <w:p w14:paraId="298492AC" w14:textId="2C0208DC" w:rsidR="00EC0950" w:rsidRPr="000408D6" w:rsidRDefault="00EC0950" w:rsidP="00EC0950">
            <w:pPr>
              <w:spacing w:after="0"/>
              <w:jc w:val="center"/>
              <w:rPr>
                <w:rFonts w:cs="Arial"/>
              </w:rPr>
            </w:pPr>
            <w:r w:rsidRPr="000408D6">
              <w:rPr>
                <w:rFonts w:cs="Arial"/>
              </w:rPr>
              <w:t>Fair Housing</w:t>
            </w:r>
          </w:p>
        </w:tc>
      </w:tr>
    </w:tbl>
    <w:p w14:paraId="28EECB1D" w14:textId="670B10BF" w:rsidR="00801F03" w:rsidRPr="000408D6" w:rsidRDefault="00801F03" w:rsidP="002924D1">
      <w:pPr>
        <w:rPr>
          <w:rFonts w:cs="Arial"/>
        </w:rPr>
        <w:sectPr w:rsidR="00801F03" w:rsidRPr="000408D6" w:rsidSect="00BC6A31">
          <w:pgSz w:w="15840" w:h="12240" w:orient="landscape"/>
          <w:pgMar w:top="1440" w:right="1440" w:bottom="1440" w:left="1440" w:header="753" w:footer="634" w:gutter="0"/>
          <w:cols w:space="720"/>
          <w:docGrid w:linePitch="326"/>
        </w:sectPr>
      </w:pPr>
    </w:p>
    <w:p w14:paraId="0CD488D2" w14:textId="71928877" w:rsidR="0055602E" w:rsidRPr="000408D6" w:rsidRDefault="008223B1" w:rsidP="00E476FA">
      <w:pPr>
        <w:pStyle w:val="Heading1"/>
        <w:rPr>
          <w:b w:val="0"/>
          <w:sz w:val="24"/>
        </w:rPr>
      </w:pPr>
      <w:bookmarkStart w:id="12" w:name="_Toc40977713"/>
      <w:bookmarkStart w:id="13" w:name="_Toc101449203"/>
      <w:r w:rsidRPr="000408D6">
        <w:rPr>
          <w:sz w:val="24"/>
        </w:rPr>
        <w:lastRenderedPageBreak/>
        <w:t>Threshold Eligibility Requirements</w:t>
      </w:r>
      <w:bookmarkEnd w:id="12"/>
      <w:bookmarkEnd w:id="13"/>
      <w:r w:rsidRPr="000408D6">
        <w:rPr>
          <w:sz w:val="24"/>
        </w:rPr>
        <w:tab/>
      </w:r>
    </w:p>
    <w:p w14:paraId="5091871A" w14:textId="4BE8F472" w:rsidR="0055602E" w:rsidRPr="000408D6" w:rsidRDefault="008C096C" w:rsidP="00E476FA">
      <w:pPr>
        <w:rPr>
          <w:rFonts w:cs="Arial"/>
        </w:rPr>
      </w:pPr>
      <w:r w:rsidRPr="000408D6">
        <w:rPr>
          <w:rFonts w:cs="Arial"/>
        </w:rPr>
        <w:t xml:space="preserve">Each proposed project, </w:t>
      </w:r>
      <w:r w:rsidR="002130EE" w:rsidRPr="000408D6">
        <w:rPr>
          <w:rFonts w:cs="Arial"/>
        </w:rPr>
        <w:t>program</w:t>
      </w:r>
      <w:r w:rsidR="00460CFC" w:rsidRPr="000408D6">
        <w:rPr>
          <w:rFonts w:cs="Arial"/>
        </w:rPr>
        <w:t>,</w:t>
      </w:r>
      <w:r w:rsidRPr="000408D6">
        <w:rPr>
          <w:rFonts w:cs="Arial"/>
        </w:rPr>
        <w:t xml:space="preserve"> or activity to be funded during </w:t>
      </w:r>
      <w:r w:rsidR="00073019" w:rsidRPr="000408D6">
        <w:rPr>
          <w:rFonts w:cs="Arial"/>
        </w:rPr>
        <w:t xml:space="preserve">PY 2026 </w:t>
      </w:r>
      <w:r w:rsidR="002130EE" w:rsidRPr="000408D6">
        <w:rPr>
          <w:rFonts w:cs="Arial"/>
        </w:rPr>
        <w:t xml:space="preserve">must </w:t>
      </w:r>
      <w:r w:rsidR="00866463" w:rsidRPr="000408D6">
        <w:rPr>
          <w:rFonts w:cs="Arial"/>
        </w:rPr>
        <w:t xml:space="preserve">meet each of the </w:t>
      </w:r>
      <w:r w:rsidRPr="000408D6">
        <w:rPr>
          <w:rFonts w:cs="Arial"/>
        </w:rPr>
        <w:t xml:space="preserve">threshold </w:t>
      </w:r>
      <w:r w:rsidR="002130EE" w:rsidRPr="000408D6">
        <w:rPr>
          <w:rFonts w:cs="Arial"/>
        </w:rPr>
        <w:t>criteria listed below. If City staff reviews the proposal and cannot determine, strictly based on the information presented, how one or more of the</w:t>
      </w:r>
      <w:r w:rsidR="002130EE" w:rsidRPr="000408D6">
        <w:rPr>
          <w:rFonts w:cs="Arial"/>
          <w:u w:color="FF0000"/>
        </w:rPr>
        <w:t xml:space="preserve"> criteria will be met</w:t>
      </w:r>
      <w:r w:rsidR="005C147D" w:rsidRPr="000408D6">
        <w:rPr>
          <w:rFonts w:cs="Arial"/>
          <w:u w:color="FF0000"/>
        </w:rPr>
        <w:t>,</w:t>
      </w:r>
      <w:r w:rsidR="002130EE" w:rsidRPr="000408D6">
        <w:rPr>
          <w:rFonts w:cs="Arial"/>
          <w:u w:color="FF0000"/>
        </w:rPr>
        <w:t xml:space="preserve"> the proposal will</w:t>
      </w:r>
      <w:r w:rsidR="00866463" w:rsidRPr="000408D6">
        <w:rPr>
          <w:rFonts w:cs="Arial"/>
          <w:u w:color="FF0000"/>
        </w:rPr>
        <w:t xml:space="preserve"> </w:t>
      </w:r>
      <w:r w:rsidR="002130EE" w:rsidRPr="000408D6">
        <w:rPr>
          <w:rFonts w:cs="Arial"/>
          <w:u w:color="FF0000"/>
        </w:rPr>
        <w:t xml:space="preserve">be deemed ineligible and will not be forwarded </w:t>
      </w:r>
      <w:r w:rsidR="00460CFC" w:rsidRPr="000408D6">
        <w:rPr>
          <w:rFonts w:cs="Arial"/>
          <w:u w:color="FF0000"/>
        </w:rPr>
        <w:t>for consideration</w:t>
      </w:r>
      <w:r w:rsidR="002130EE" w:rsidRPr="000408D6">
        <w:rPr>
          <w:rFonts w:cs="Arial"/>
          <w:u w:color="FF0000"/>
        </w:rPr>
        <w:t>.</w:t>
      </w:r>
    </w:p>
    <w:p w14:paraId="79F8CDBA" w14:textId="77777777" w:rsidR="00EB0068" w:rsidRPr="000408D6" w:rsidRDefault="00487708" w:rsidP="002D51A3">
      <w:pPr>
        <w:pStyle w:val="ListParagraph"/>
        <w:numPr>
          <w:ilvl w:val="0"/>
          <w:numId w:val="6"/>
        </w:numPr>
        <w:rPr>
          <w:rFonts w:cs="Arial"/>
          <w:b/>
        </w:rPr>
      </w:pPr>
      <w:r w:rsidRPr="000408D6">
        <w:rPr>
          <w:rFonts w:cs="Arial"/>
          <w:b/>
          <w:u w:val="single"/>
        </w:rPr>
        <w:t>Eligible E</w:t>
      </w:r>
      <w:r w:rsidR="00EB0068" w:rsidRPr="000408D6">
        <w:rPr>
          <w:rFonts w:cs="Arial"/>
          <w:b/>
          <w:u w:val="single"/>
        </w:rPr>
        <w:t>ntity</w:t>
      </w:r>
      <w:r w:rsidRPr="000408D6">
        <w:rPr>
          <w:rFonts w:cs="Arial"/>
          <w:b/>
        </w:rPr>
        <w:t xml:space="preserve">. </w:t>
      </w:r>
      <w:r w:rsidRPr="000408D6">
        <w:rPr>
          <w:rFonts w:cs="Arial"/>
        </w:rPr>
        <w:t>An eligible entity is</w:t>
      </w:r>
      <w:r w:rsidR="00EB0068" w:rsidRPr="000408D6">
        <w:rPr>
          <w:rFonts w:cs="Arial"/>
        </w:rPr>
        <w:t>:</w:t>
      </w:r>
    </w:p>
    <w:p w14:paraId="58F95E3E" w14:textId="3C6B10BB" w:rsidR="00FE0D50" w:rsidRDefault="00EB0068" w:rsidP="00073019">
      <w:pPr>
        <w:pStyle w:val="ListParagraph"/>
        <w:numPr>
          <w:ilvl w:val="0"/>
          <w:numId w:val="7"/>
        </w:numPr>
        <w:spacing w:after="0"/>
        <w:rPr>
          <w:rFonts w:cs="Arial"/>
        </w:rPr>
      </w:pPr>
      <w:r w:rsidRPr="000408D6">
        <w:rPr>
          <w:rFonts w:cs="Arial"/>
        </w:rPr>
        <w:t xml:space="preserve">A unit of local government serving </w:t>
      </w:r>
      <w:r w:rsidR="00487708" w:rsidRPr="000408D6">
        <w:rPr>
          <w:rFonts w:cs="Arial"/>
        </w:rPr>
        <w:t xml:space="preserve">program beneficiaries residing in the </w:t>
      </w:r>
      <w:r w:rsidR="00867A44" w:rsidRPr="000408D6">
        <w:rPr>
          <w:rFonts w:cs="Arial"/>
        </w:rPr>
        <w:t xml:space="preserve">City of </w:t>
      </w:r>
      <w:r w:rsidRPr="000408D6">
        <w:rPr>
          <w:rFonts w:cs="Arial"/>
        </w:rPr>
        <w:t>Fresno</w:t>
      </w:r>
      <w:r w:rsidR="00487708" w:rsidRPr="000408D6">
        <w:rPr>
          <w:rFonts w:cs="Arial"/>
        </w:rPr>
        <w:t xml:space="preserve">, </w:t>
      </w:r>
      <w:proofErr w:type="gramStart"/>
      <w:r w:rsidR="00487708" w:rsidRPr="000408D6">
        <w:rPr>
          <w:rFonts w:cs="Arial"/>
        </w:rPr>
        <w:t>or</w:t>
      </w:r>
      <w:r w:rsidR="008952A5" w:rsidRPr="000408D6">
        <w:rPr>
          <w:rFonts w:cs="Arial"/>
        </w:rPr>
        <w:t>;</w:t>
      </w:r>
      <w:proofErr w:type="gramEnd"/>
    </w:p>
    <w:p w14:paraId="0F6716C9" w14:textId="77777777" w:rsidR="00DE4427" w:rsidRPr="000408D6" w:rsidRDefault="00DE4427" w:rsidP="00DE4427">
      <w:pPr>
        <w:pStyle w:val="ListParagraph"/>
        <w:spacing w:after="0"/>
        <w:ind w:left="1080"/>
        <w:rPr>
          <w:rFonts w:cs="Arial"/>
        </w:rPr>
      </w:pPr>
    </w:p>
    <w:p w14:paraId="71A14C28" w14:textId="2F2A35EA" w:rsidR="00FE0D50" w:rsidRPr="000408D6" w:rsidRDefault="00EB0068" w:rsidP="00073019">
      <w:pPr>
        <w:pStyle w:val="ListParagraph"/>
        <w:numPr>
          <w:ilvl w:val="0"/>
          <w:numId w:val="7"/>
        </w:numPr>
        <w:spacing w:after="0"/>
        <w:rPr>
          <w:rFonts w:cs="Arial"/>
        </w:rPr>
      </w:pPr>
      <w:r w:rsidRPr="000408D6">
        <w:rPr>
          <w:rFonts w:cs="Arial"/>
        </w:rPr>
        <w:t xml:space="preserve">A nonprofit corporation </w:t>
      </w:r>
      <w:r w:rsidR="00487708" w:rsidRPr="000408D6">
        <w:rPr>
          <w:rFonts w:cs="Arial"/>
        </w:rPr>
        <w:t xml:space="preserve">that: 1) is </w:t>
      </w:r>
      <w:r w:rsidRPr="000408D6">
        <w:rPr>
          <w:rFonts w:cs="Arial"/>
        </w:rPr>
        <w:t>incorporated in California or incorporated with a State of the United State</w:t>
      </w:r>
      <w:r w:rsidR="004B6AE3" w:rsidRPr="000408D6">
        <w:rPr>
          <w:rFonts w:cs="Arial"/>
        </w:rPr>
        <w:t>s</w:t>
      </w:r>
      <w:r w:rsidRPr="000408D6">
        <w:rPr>
          <w:rFonts w:cs="Arial"/>
        </w:rPr>
        <w:t xml:space="preserve">, the District of Columbia or a United States Territory and </w:t>
      </w:r>
      <w:r w:rsidR="004B6AE3" w:rsidRPr="000408D6">
        <w:rPr>
          <w:rFonts w:cs="Arial"/>
        </w:rPr>
        <w:t xml:space="preserve">properly </w:t>
      </w:r>
      <w:r w:rsidRPr="000408D6">
        <w:rPr>
          <w:rFonts w:cs="Arial"/>
        </w:rPr>
        <w:t>registered as a “Foreign Corporation” with the California Secretary of State</w:t>
      </w:r>
      <w:r w:rsidR="00487708" w:rsidRPr="000408D6">
        <w:rPr>
          <w:rFonts w:cs="Arial"/>
        </w:rPr>
        <w:t>; and 2) possesses a 501(C)(3) d</w:t>
      </w:r>
      <w:r w:rsidR="00867A44" w:rsidRPr="000408D6">
        <w:rPr>
          <w:rFonts w:cs="Arial"/>
        </w:rPr>
        <w:t xml:space="preserve">etermination of exempt status. </w:t>
      </w:r>
      <w:r w:rsidR="00487708" w:rsidRPr="000408D6">
        <w:rPr>
          <w:rFonts w:cs="Arial"/>
        </w:rPr>
        <w:t>The City will accept an advance determination ruling from the IRS.</w:t>
      </w:r>
    </w:p>
    <w:p w14:paraId="1FCFEBD1" w14:textId="77777777" w:rsidR="00073019" w:rsidRPr="000408D6" w:rsidRDefault="00073019" w:rsidP="00073019">
      <w:pPr>
        <w:pStyle w:val="ListParagraph"/>
        <w:spacing w:after="0"/>
        <w:ind w:left="1080"/>
        <w:rPr>
          <w:rFonts w:cs="Arial"/>
        </w:rPr>
      </w:pPr>
    </w:p>
    <w:p w14:paraId="19285986" w14:textId="02219892" w:rsidR="00F23380" w:rsidRPr="000408D6" w:rsidRDefault="00F23380" w:rsidP="005B4AE5">
      <w:pPr>
        <w:pStyle w:val="ListParagraph"/>
        <w:numPr>
          <w:ilvl w:val="0"/>
          <w:numId w:val="6"/>
        </w:numPr>
        <w:rPr>
          <w:rFonts w:cs="Arial"/>
        </w:rPr>
      </w:pPr>
      <w:r w:rsidRPr="000408D6">
        <w:rPr>
          <w:rFonts w:cs="Arial"/>
          <w:b/>
          <w:u w:val="single"/>
        </w:rPr>
        <w:t>In Good Standing.</w:t>
      </w:r>
      <w:r w:rsidRPr="000408D6">
        <w:rPr>
          <w:rFonts w:cs="Arial"/>
          <w:u w:val="single"/>
        </w:rPr>
        <w:t xml:space="preserve"> </w:t>
      </w:r>
      <w:r w:rsidRPr="000408D6">
        <w:rPr>
          <w:rFonts w:cs="Arial"/>
        </w:rPr>
        <w:t xml:space="preserve">If the entity is a prior recipient of federal funds through the City, it must be in good standing to be eligible for award. This includes having resolved, or actively be in the process of resolving, any open monitoring findings.  </w:t>
      </w:r>
    </w:p>
    <w:p w14:paraId="53F3A05A" w14:textId="61AD5D62" w:rsidR="00FE0D50" w:rsidRPr="000408D6" w:rsidRDefault="00B36B98" w:rsidP="00073019">
      <w:pPr>
        <w:pStyle w:val="ListParagraph"/>
        <w:numPr>
          <w:ilvl w:val="0"/>
          <w:numId w:val="6"/>
        </w:numPr>
        <w:rPr>
          <w:rFonts w:cs="Arial"/>
        </w:rPr>
      </w:pPr>
      <w:r w:rsidRPr="000408D6">
        <w:rPr>
          <w:rFonts w:cs="Arial"/>
          <w:b/>
          <w:u w:val="single"/>
        </w:rPr>
        <w:t>2026</w:t>
      </w:r>
      <w:r w:rsidR="001B08B1">
        <w:rPr>
          <w:rFonts w:cs="Arial"/>
          <w:b/>
          <w:u w:val="single"/>
        </w:rPr>
        <w:t xml:space="preserve"> – 2027</w:t>
      </w:r>
      <w:r w:rsidRPr="000408D6">
        <w:rPr>
          <w:rFonts w:cs="Arial"/>
          <w:b/>
          <w:u w:val="single"/>
        </w:rPr>
        <w:t xml:space="preserve"> </w:t>
      </w:r>
      <w:r w:rsidR="009C7507" w:rsidRPr="000408D6">
        <w:rPr>
          <w:rFonts w:cs="Arial"/>
          <w:b/>
          <w:u w:val="single"/>
        </w:rPr>
        <w:t>NOFA Part A</w:t>
      </w:r>
      <w:r w:rsidRPr="000408D6">
        <w:rPr>
          <w:rFonts w:cs="Arial"/>
          <w:b/>
          <w:u w:val="single"/>
        </w:rPr>
        <w:t xml:space="preserve"> – Cover Page</w:t>
      </w:r>
      <w:r w:rsidR="00FE0D50" w:rsidRPr="000408D6">
        <w:rPr>
          <w:rFonts w:cs="Arial"/>
        </w:rPr>
        <w:t xml:space="preserve">. </w:t>
      </w:r>
      <w:r w:rsidR="00383D27" w:rsidRPr="000408D6">
        <w:rPr>
          <w:rFonts w:cs="Arial"/>
        </w:rPr>
        <w:t xml:space="preserve">Each Applicant must </w:t>
      </w:r>
      <w:r w:rsidR="00240011" w:rsidRPr="000408D6">
        <w:rPr>
          <w:rFonts w:cs="Arial"/>
        </w:rPr>
        <w:t xml:space="preserve">submit </w:t>
      </w:r>
      <w:r w:rsidR="00383D27" w:rsidRPr="000408D6">
        <w:rPr>
          <w:rFonts w:cs="Arial"/>
        </w:rPr>
        <w:t xml:space="preserve">a fully completed and signed </w:t>
      </w:r>
      <w:r w:rsidR="006844FF">
        <w:rPr>
          <w:rFonts w:cs="Arial"/>
        </w:rPr>
        <w:t xml:space="preserve">2026 – 2027 </w:t>
      </w:r>
      <w:r w:rsidR="00383D27" w:rsidRPr="000408D6">
        <w:rPr>
          <w:rFonts w:cs="Arial"/>
        </w:rPr>
        <w:t xml:space="preserve">NOFA </w:t>
      </w:r>
      <w:r w:rsidRPr="000408D6">
        <w:rPr>
          <w:rFonts w:cs="Arial"/>
        </w:rPr>
        <w:t>Cover Page</w:t>
      </w:r>
      <w:r w:rsidR="00383D27" w:rsidRPr="000408D6">
        <w:rPr>
          <w:rFonts w:cs="Arial"/>
        </w:rPr>
        <w:t xml:space="preserve"> by the deadline provided herei</w:t>
      </w:r>
      <w:r w:rsidR="00E43954" w:rsidRPr="000408D6">
        <w:rPr>
          <w:rFonts w:cs="Arial"/>
        </w:rPr>
        <w:t>n.</w:t>
      </w:r>
      <w:r w:rsidR="00867A44" w:rsidRPr="000408D6">
        <w:rPr>
          <w:rFonts w:cs="Arial"/>
        </w:rPr>
        <w:t xml:space="preserve"> For the Fair Housing NOFA, the Applications Part A and B are included in the same document.</w:t>
      </w:r>
    </w:p>
    <w:p w14:paraId="1B5583F5" w14:textId="77777777" w:rsidR="00535A71" w:rsidRPr="000408D6" w:rsidRDefault="00B36B98" w:rsidP="00917E45">
      <w:pPr>
        <w:pStyle w:val="ListParagraph"/>
        <w:rPr>
          <w:rFonts w:cs="Arial"/>
        </w:rPr>
      </w:pPr>
      <w:r w:rsidRPr="000408D6">
        <w:rPr>
          <w:rFonts w:cs="Arial"/>
        </w:rPr>
        <w:t>The Cover Page</w:t>
      </w:r>
      <w:r w:rsidR="00E43954" w:rsidRPr="000408D6">
        <w:rPr>
          <w:rFonts w:cs="Arial"/>
        </w:rPr>
        <w:t xml:space="preserve"> </w:t>
      </w:r>
      <w:r w:rsidR="00B33B45" w:rsidRPr="000408D6">
        <w:rPr>
          <w:rFonts w:cs="Arial"/>
        </w:rPr>
        <w:t xml:space="preserve">must, without exception, include the applicant’s </w:t>
      </w:r>
      <w:r w:rsidRPr="000408D6">
        <w:rPr>
          <w:rFonts w:cs="Arial"/>
        </w:rPr>
        <w:t>Unique Entity Identifier (UEI)</w:t>
      </w:r>
      <w:r w:rsidR="00535A71" w:rsidRPr="000408D6">
        <w:rPr>
          <w:rFonts w:cs="Arial"/>
        </w:rPr>
        <w:t xml:space="preserve"> </w:t>
      </w:r>
      <w:r w:rsidR="00E43954" w:rsidRPr="000408D6">
        <w:rPr>
          <w:rFonts w:cs="Arial"/>
        </w:rPr>
        <w:t>number.</w:t>
      </w:r>
      <w:r w:rsidR="00FE0D50" w:rsidRPr="000408D6">
        <w:rPr>
          <w:rFonts w:cs="Arial"/>
        </w:rPr>
        <w:t xml:space="preserve"> </w:t>
      </w:r>
      <w:r w:rsidR="00535A71" w:rsidRPr="000408D6">
        <w:rPr>
          <w:rFonts w:cs="Arial"/>
        </w:rPr>
        <w:t xml:space="preserve">A UEI number is the primary means of entity identification for Federal awards government-wide. The Federal government uses the UEI number to track how Federal money is allocated. If your organization does not have a UEI number visit the SAM.gov website at: </w:t>
      </w:r>
      <w:hyperlink r:id="rId19" w:history="1">
        <w:r w:rsidR="00535A71" w:rsidRPr="000408D6">
          <w:rPr>
            <w:rStyle w:val="Hyperlink"/>
            <w:rFonts w:cs="Arial"/>
          </w:rPr>
          <w:t>https://sam.gov/content/duns-uei</w:t>
        </w:r>
      </w:hyperlink>
    </w:p>
    <w:p w14:paraId="688DAC51" w14:textId="77777777" w:rsidR="005874EE" w:rsidRDefault="00535A71" w:rsidP="005874EE">
      <w:pPr>
        <w:pStyle w:val="ListParagraph"/>
        <w:rPr>
          <w:rFonts w:cs="Arial"/>
        </w:rPr>
      </w:pPr>
      <w:r w:rsidRPr="000408D6">
        <w:rPr>
          <w:rFonts w:cs="Arial"/>
        </w:rPr>
        <w:t xml:space="preserve">Registering for a UEI number is free of charge. To see comprehensive instructions and checklists for entity registration visit: </w:t>
      </w:r>
      <w:hyperlink r:id="rId20" w:history="1">
        <w:r w:rsidRPr="000408D6">
          <w:rPr>
            <w:rStyle w:val="Hyperlink"/>
            <w:rFonts w:cs="Arial"/>
          </w:rPr>
          <w:t>https://sam.gov/content/duns-uei</w:t>
        </w:r>
      </w:hyperlink>
      <w:r w:rsidRPr="000408D6">
        <w:rPr>
          <w:rFonts w:cs="Arial"/>
        </w:rPr>
        <w:t>. Click on “Entity Registration Checklist”</w:t>
      </w:r>
    </w:p>
    <w:p w14:paraId="5CCE437C" w14:textId="288B5D8B" w:rsidR="00576393" w:rsidRPr="005874EE" w:rsidRDefault="00535A71" w:rsidP="005874EE">
      <w:pPr>
        <w:pStyle w:val="ListParagraph"/>
        <w:numPr>
          <w:ilvl w:val="0"/>
          <w:numId w:val="6"/>
        </w:numPr>
        <w:rPr>
          <w:rFonts w:cs="Arial"/>
          <w:b/>
          <w:u w:val="single"/>
        </w:rPr>
      </w:pPr>
      <w:r w:rsidRPr="005874EE">
        <w:rPr>
          <w:rFonts w:cs="Arial"/>
          <w:b/>
          <w:u w:val="single"/>
        </w:rPr>
        <w:t>2026</w:t>
      </w:r>
      <w:r w:rsidR="001B08B1">
        <w:rPr>
          <w:rFonts w:cs="Arial"/>
          <w:b/>
          <w:u w:val="single"/>
        </w:rPr>
        <w:t xml:space="preserve"> – 2027</w:t>
      </w:r>
      <w:r w:rsidRPr="005874EE">
        <w:rPr>
          <w:rFonts w:cs="Arial"/>
          <w:b/>
          <w:u w:val="single"/>
        </w:rPr>
        <w:t xml:space="preserve"> </w:t>
      </w:r>
      <w:r w:rsidR="00383D27" w:rsidRPr="005874EE">
        <w:rPr>
          <w:rFonts w:cs="Arial"/>
          <w:b/>
          <w:u w:val="single"/>
        </w:rPr>
        <w:t xml:space="preserve">NOFA </w:t>
      </w:r>
      <w:r w:rsidRPr="005874EE">
        <w:rPr>
          <w:rFonts w:cs="Arial"/>
          <w:b/>
          <w:u w:val="single"/>
        </w:rPr>
        <w:t>Part B – Application</w:t>
      </w:r>
      <w:r w:rsidR="00FE0D50" w:rsidRPr="005874EE">
        <w:rPr>
          <w:rFonts w:cs="Arial"/>
        </w:rPr>
        <w:t xml:space="preserve">. </w:t>
      </w:r>
      <w:r w:rsidR="00867A44" w:rsidRPr="005874EE">
        <w:rPr>
          <w:rFonts w:cs="Arial"/>
        </w:rPr>
        <w:t>S</w:t>
      </w:r>
      <w:r w:rsidR="00383D27" w:rsidRPr="005874EE">
        <w:rPr>
          <w:rFonts w:cs="Arial"/>
        </w:rPr>
        <w:t xml:space="preserve">ubmit </w:t>
      </w:r>
      <w:r w:rsidR="00FE0D50" w:rsidRPr="005874EE">
        <w:rPr>
          <w:rFonts w:cs="Arial"/>
        </w:rPr>
        <w:t xml:space="preserve">the corresponding </w:t>
      </w:r>
      <w:r w:rsidR="00757FC5" w:rsidRPr="005874EE">
        <w:rPr>
          <w:rFonts w:cs="Arial"/>
        </w:rPr>
        <w:t>NOFA Application</w:t>
      </w:r>
      <w:r w:rsidRPr="005874EE">
        <w:rPr>
          <w:rFonts w:cs="Arial"/>
        </w:rPr>
        <w:t xml:space="preserve"> Part B </w:t>
      </w:r>
      <w:r w:rsidR="00FE0D50" w:rsidRPr="005874EE">
        <w:rPr>
          <w:rFonts w:cs="Arial"/>
        </w:rPr>
        <w:t xml:space="preserve">(per </w:t>
      </w:r>
      <w:r w:rsidR="00576393" w:rsidRPr="005874EE">
        <w:rPr>
          <w:rFonts w:cs="Arial"/>
        </w:rPr>
        <w:t xml:space="preserve">Table 1 above) </w:t>
      </w:r>
      <w:r w:rsidR="00383D27" w:rsidRPr="005874EE">
        <w:rPr>
          <w:rFonts w:cs="Arial"/>
        </w:rPr>
        <w:t xml:space="preserve">for </w:t>
      </w:r>
      <w:r w:rsidR="00757FC5" w:rsidRPr="005874EE">
        <w:rPr>
          <w:rFonts w:cs="Arial"/>
        </w:rPr>
        <w:t>each</w:t>
      </w:r>
      <w:r w:rsidR="003F3AD3" w:rsidRPr="005874EE">
        <w:rPr>
          <w:rFonts w:cs="Arial"/>
        </w:rPr>
        <w:t xml:space="preserve"> NOFA </w:t>
      </w:r>
      <w:r w:rsidR="00FE0D50" w:rsidRPr="005874EE">
        <w:rPr>
          <w:rFonts w:cs="Arial"/>
        </w:rPr>
        <w:t xml:space="preserve">project activity </w:t>
      </w:r>
      <w:r w:rsidR="003F3AD3" w:rsidRPr="005874EE">
        <w:rPr>
          <w:rFonts w:cs="Arial"/>
        </w:rPr>
        <w:t>for which funding is being sought.</w:t>
      </w:r>
      <w:r w:rsidR="00867A44" w:rsidRPr="005874EE">
        <w:rPr>
          <w:rFonts w:cs="Arial"/>
        </w:rPr>
        <w:t xml:space="preserve"> For the Fair Housing NOFA, the Applications Part A and B are included in the same document.</w:t>
      </w:r>
    </w:p>
    <w:p w14:paraId="46C8C1C1" w14:textId="6AC079EF" w:rsidR="00535A71" w:rsidRPr="000408D6" w:rsidRDefault="00535A71" w:rsidP="00535A71">
      <w:pPr>
        <w:pStyle w:val="ListParagraph"/>
        <w:rPr>
          <w:rFonts w:cs="Arial"/>
          <w:bCs/>
        </w:rPr>
      </w:pPr>
      <w:r w:rsidRPr="000408D6">
        <w:rPr>
          <w:rFonts w:cs="Arial"/>
          <w:bCs/>
        </w:rPr>
        <w:t>Notes:</w:t>
      </w:r>
    </w:p>
    <w:p w14:paraId="74186B05" w14:textId="40DDB718" w:rsidR="00535A71" w:rsidRPr="000408D6" w:rsidRDefault="00CB5491" w:rsidP="00535A71">
      <w:pPr>
        <w:pStyle w:val="ListParagraph"/>
        <w:numPr>
          <w:ilvl w:val="1"/>
          <w:numId w:val="6"/>
        </w:numPr>
        <w:rPr>
          <w:rFonts w:cs="Arial"/>
          <w:bCs/>
        </w:rPr>
      </w:pPr>
      <w:r>
        <w:rPr>
          <w:rFonts w:cs="Arial"/>
          <w:bCs/>
        </w:rPr>
        <w:lastRenderedPageBreak/>
        <w:t>A</w:t>
      </w:r>
      <w:r w:rsidR="007A19E1" w:rsidRPr="000408D6">
        <w:rPr>
          <w:rFonts w:cs="Arial"/>
          <w:bCs/>
        </w:rPr>
        <w:t xml:space="preserve">ccomplishment </w:t>
      </w:r>
      <w:r w:rsidR="00535A71" w:rsidRPr="000408D6">
        <w:rPr>
          <w:rFonts w:cs="Arial"/>
          <w:bCs/>
        </w:rPr>
        <w:t xml:space="preserve">data must be included in Part B of the application. </w:t>
      </w:r>
    </w:p>
    <w:p w14:paraId="6FFFD5C5" w14:textId="43EA500F" w:rsidR="004C79F1" w:rsidRPr="000408D6" w:rsidRDefault="004C79F1" w:rsidP="002D51A3">
      <w:pPr>
        <w:pStyle w:val="ListParagraph"/>
        <w:numPr>
          <w:ilvl w:val="0"/>
          <w:numId w:val="6"/>
        </w:numPr>
        <w:rPr>
          <w:rFonts w:cs="Arial"/>
        </w:rPr>
      </w:pPr>
      <w:r w:rsidRPr="000408D6">
        <w:rPr>
          <w:rFonts w:cs="Arial"/>
          <w:b/>
          <w:u w:val="single"/>
        </w:rPr>
        <w:t>Consolidated Plan Priorities/Annual Action Plan Projects</w:t>
      </w:r>
      <w:r w:rsidR="00EC0950" w:rsidRPr="000408D6">
        <w:rPr>
          <w:rFonts w:cs="Arial"/>
          <w:b/>
          <w:u w:val="single"/>
        </w:rPr>
        <w:t>/Analysis of Impediments to Fair Housing Choice Recommended Actions</w:t>
      </w:r>
      <w:r w:rsidR="00487708" w:rsidRPr="000408D6">
        <w:rPr>
          <w:rFonts w:cs="Arial"/>
        </w:rPr>
        <w:t xml:space="preserve">: </w:t>
      </w:r>
      <w:r w:rsidR="002130EE" w:rsidRPr="000408D6">
        <w:rPr>
          <w:rFonts w:cs="Arial"/>
        </w:rPr>
        <w:t>The proposal must</w:t>
      </w:r>
      <w:r w:rsidRPr="000408D6">
        <w:rPr>
          <w:rFonts w:cs="Arial"/>
        </w:rPr>
        <w:t>:</w:t>
      </w:r>
    </w:p>
    <w:p w14:paraId="44B8CBB8" w14:textId="7C30DC57" w:rsidR="004C79F1" w:rsidRPr="000408D6" w:rsidRDefault="004C79F1" w:rsidP="002D51A3">
      <w:pPr>
        <w:pStyle w:val="ListParagraph"/>
        <w:numPr>
          <w:ilvl w:val="0"/>
          <w:numId w:val="10"/>
        </w:numPr>
        <w:rPr>
          <w:rFonts w:cs="Arial"/>
        </w:rPr>
      </w:pPr>
      <w:r w:rsidRPr="000408D6">
        <w:rPr>
          <w:rFonts w:cs="Arial"/>
        </w:rPr>
        <w:t>C</w:t>
      </w:r>
      <w:r w:rsidR="002130EE" w:rsidRPr="000408D6">
        <w:rPr>
          <w:rFonts w:cs="Arial"/>
        </w:rPr>
        <w:t xml:space="preserve">learly target </w:t>
      </w:r>
      <w:r w:rsidR="00866463" w:rsidRPr="000408D6">
        <w:rPr>
          <w:rFonts w:cs="Arial"/>
        </w:rPr>
        <w:t xml:space="preserve">the </w:t>
      </w:r>
      <w:r w:rsidR="004B0627" w:rsidRPr="000408D6">
        <w:rPr>
          <w:rFonts w:cs="Arial"/>
        </w:rPr>
        <w:t xml:space="preserve">fair housing priority </w:t>
      </w:r>
      <w:r w:rsidR="002130EE" w:rsidRPr="000408D6">
        <w:rPr>
          <w:rFonts w:cs="Arial"/>
        </w:rPr>
        <w:t xml:space="preserve">incorporated into the </w:t>
      </w:r>
      <w:r w:rsidR="00092867" w:rsidRPr="000408D6">
        <w:rPr>
          <w:rFonts w:cs="Arial"/>
        </w:rPr>
        <w:t>City</w:t>
      </w:r>
      <w:r w:rsidR="00866463" w:rsidRPr="000408D6">
        <w:rPr>
          <w:rFonts w:cs="Arial"/>
        </w:rPr>
        <w:t>’s</w:t>
      </w:r>
      <w:r w:rsidR="00AB6A12" w:rsidRPr="000408D6">
        <w:rPr>
          <w:rFonts w:cs="Arial"/>
        </w:rPr>
        <w:t xml:space="preserve"> </w:t>
      </w:r>
      <w:r w:rsidR="002E562D">
        <w:rPr>
          <w:rFonts w:cs="Arial"/>
        </w:rPr>
        <w:t xml:space="preserve">2025 – 2029 </w:t>
      </w:r>
      <w:r w:rsidR="00866463" w:rsidRPr="000408D6">
        <w:rPr>
          <w:rFonts w:cs="Arial"/>
        </w:rPr>
        <w:t xml:space="preserve">Consolidated Plan </w:t>
      </w:r>
      <w:r w:rsidRPr="000408D6">
        <w:rPr>
          <w:rFonts w:cs="Arial"/>
        </w:rPr>
        <w:t xml:space="preserve">(see </w:t>
      </w:r>
      <w:r w:rsidRPr="000408D6">
        <w:rPr>
          <w:rFonts w:cs="Arial"/>
        </w:rPr>
        <w:fldChar w:fldCharType="begin"/>
      </w:r>
      <w:r w:rsidRPr="000408D6">
        <w:rPr>
          <w:rFonts w:cs="Arial"/>
        </w:rPr>
        <w:instrText xml:space="preserve"> REF _Ref40102667 \h  \* MERGEFORMAT </w:instrText>
      </w:r>
      <w:r w:rsidRPr="000408D6">
        <w:rPr>
          <w:rFonts w:cs="Arial"/>
        </w:rPr>
      </w:r>
      <w:r w:rsidRPr="000408D6">
        <w:rPr>
          <w:rFonts w:cs="Arial"/>
        </w:rPr>
        <w:fldChar w:fldCharType="separate"/>
      </w:r>
      <w:r w:rsidRPr="000408D6">
        <w:rPr>
          <w:rFonts w:cs="Arial"/>
        </w:rPr>
        <w:t>Introduction</w:t>
      </w:r>
      <w:r w:rsidRPr="000408D6">
        <w:rPr>
          <w:rFonts w:cs="Arial"/>
        </w:rPr>
        <w:fldChar w:fldCharType="end"/>
      </w:r>
      <w:r w:rsidRPr="000408D6">
        <w:rPr>
          <w:rFonts w:cs="Arial"/>
        </w:rPr>
        <w:t xml:space="preserve">), </w:t>
      </w:r>
      <w:proofErr w:type="gramStart"/>
      <w:r w:rsidRPr="000408D6">
        <w:rPr>
          <w:rFonts w:cs="Arial"/>
        </w:rPr>
        <w:t>and;</w:t>
      </w:r>
      <w:proofErr w:type="gramEnd"/>
      <w:r w:rsidRPr="000408D6">
        <w:rPr>
          <w:rFonts w:cs="Arial"/>
        </w:rPr>
        <w:t xml:space="preserve"> </w:t>
      </w:r>
    </w:p>
    <w:p w14:paraId="006C3414" w14:textId="1E4EBE8A" w:rsidR="0055602E" w:rsidRPr="000408D6" w:rsidRDefault="004C79F1" w:rsidP="002D51A3">
      <w:pPr>
        <w:pStyle w:val="ListParagraph"/>
        <w:numPr>
          <w:ilvl w:val="0"/>
          <w:numId w:val="10"/>
        </w:numPr>
        <w:rPr>
          <w:rFonts w:cs="Arial"/>
        </w:rPr>
      </w:pPr>
      <w:r w:rsidRPr="000408D6">
        <w:rPr>
          <w:rFonts w:cs="Arial"/>
        </w:rPr>
        <w:t xml:space="preserve">Fit the parameters of one of the </w:t>
      </w:r>
      <w:r w:rsidR="003070E6">
        <w:rPr>
          <w:rFonts w:cs="Arial"/>
        </w:rPr>
        <w:t xml:space="preserve">proposed </w:t>
      </w:r>
      <w:proofErr w:type="gramStart"/>
      <w:r w:rsidRPr="000408D6">
        <w:rPr>
          <w:rFonts w:cs="Arial"/>
        </w:rPr>
        <w:t>project</w:t>
      </w:r>
      <w:proofErr w:type="gramEnd"/>
      <w:r w:rsidRPr="000408D6">
        <w:rPr>
          <w:rFonts w:cs="Arial"/>
        </w:rPr>
        <w:t xml:space="preserve"> </w:t>
      </w:r>
      <w:r w:rsidR="003070E6">
        <w:rPr>
          <w:rFonts w:cs="Arial"/>
        </w:rPr>
        <w:t>included</w:t>
      </w:r>
      <w:r w:rsidR="003070E6" w:rsidRPr="000408D6">
        <w:rPr>
          <w:rFonts w:cs="Arial"/>
        </w:rPr>
        <w:t xml:space="preserve"> </w:t>
      </w:r>
      <w:r w:rsidRPr="000408D6">
        <w:rPr>
          <w:rFonts w:cs="Arial"/>
        </w:rPr>
        <w:t xml:space="preserve">as part of the </w:t>
      </w:r>
      <w:r w:rsidR="003070E6">
        <w:rPr>
          <w:rFonts w:cs="Arial"/>
        </w:rPr>
        <w:t xml:space="preserve">2026 </w:t>
      </w:r>
      <w:r w:rsidR="002E562D">
        <w:rPr>
          <w:rFonts w:cs="Arial"/>
        </w:rPr>
        <w:t xml:space="preserve">– </w:t>
      </w:r>
      <w:r w:rsidR="003070E6">
        <w:rPr>
          <w:rFonts w:cs="Arial"/>
        </w:rPr>
        <w:t>2027</w:t>
      </w:r>
      <w:r w:rsidR="003070E6" w:rsidRPr="000408D6">
        <w:rPr>
          <w:rFonts w:cs="Arial"/>
        </w:rPr>
        <w:t xml:space="preserve"> </w:t>
      </w:r>
      <w:r w:rsidRPr="000408D6">
        <w:rPr>
          <w:rFonts w:cs="Arial"/>
        </w:rPr>
        <w:t xml:space="preserve">Annual Action Plan (see Table 1: </w:t>
      </w:r>
      <w:r w:rsidR="003070E6">
        <w:rPr>
          <w:rFonts w:cs="Arial"/>
        </w:rPr>
        <w:t xml:space="preserve">Available Funding Anticipated </w:t>
      </w:r>
      <w:r w:rsidRPr="000408D6">
        <w:rPr>
          <w:rFonts w:cs="Arial"/>
        </w:rPr>
        <w:t xml:space="preserve">by </w:t>
      </w:r>
      <w:r w:rsidR="003070E6">
        <w:rPr>
          <w:rFonts w:cs="Arial"/>
        </w:rPr>
        <w:t>Project</w:t>
      </w:r>
      <w:r w:rsidRPr="000408D6">
        <w:rPr>
          <w:rFonts w:cs="Arial"/>
        </w:rPr>
        <w:t>)</w:t>
      </w:r>
      <w:r w:rsidR="001047E9" w:rsidRPr="000408D6">
        <w:rPr>
          <w:rFonts w:cs="Arial"/>
        </w:rPr>
        <w:t xml:space="preserve">, </w:t>
      </w:r>
      <w:proofErr w:type="gramStart"/>
      <w:r w:rsidR="001047E9" w:rsidRPr="000408D6">
        <w:rPr>
          <w:rFonts w:cs="Arial"/>
        </w:rPr>
        <w:t>and;</w:t>
      </w:r>
      <w:proofErr w:type="gramEnd"/>
    </w:p>
    <w:p w14:paraId="7CCDAF7F" w14:textId="6D675F04" w:rsidR="00EC0950" w:rsidRPr="000408D6" w:rsidRDefault="00EC0950" w:rsidP="00EC0950">
      <w:pPr>
        <w:pStyle w:val="ListParagraph"/>
        <w:numPr>
          <w:ilvl w:val="0"/>
          <w:numId w:val="10"/>
        </w:numPr>
        <w:rPr>
          <w:rFonts w:cs="Arial"/>
        </w:rPr>
      </w:pPr>
      <w:r w:rsidRPr="000408D6">
        <w:rPr>
          <w:rFonts w:cs="Arial"/>
        </w:rPr>
        <w:t xml:space="preserve">Address one or more of the recommended actions outlined in the </w:t>
      </w:r>
      <w:r w:rsidR="00AB6A12" w:rsidRPr="000408D6">
        <w:rPr>
          <w:rFonts w:cs="Arial"/>
        </w:rPr>
        <w:t xml:space="preserve">2025 </w:t>
      </w:r>
      <w:r w:rsidRPr="000408D6">
        <w:rPr>
          <w:rFonts w:cs="Arial"/>
        </w:rPr>
        <w:t>Analysis of Impediments to Fair Housing Choice (see ‘activity definitions’ in the Part B: Application).</w:t>
      </w:r>
    </w:p>
    <w:p w14:paraId="52169BC3" w14:textId="53FB173F" w:rsidR="00627AAD" w:rsidRDefault="004A788C" w:rsidP="00AB6A12">
      <w:pPr>
        <w:pStyle w:val="ListParagraph"/>
        <w:numPr>
          <w:ilvl w:val="0"/>
          <w:numId w:val="6"/>
        </w:numPr>
        <w:spacing w:after="0"/>
        <w:rPr>
          <w:rFonts w:cs="Arial"/>
        </w:rPr>
      </w:pPr>
      <w:r w:rsidRPr="000408D6">
        <w:rPr>
          <w:rFonts w:cs="Arial"/>
          <w:b/>
          <w:u w:val="single"/>
        </w:rPr>
        <w:t>Eligible Activity</w:t>
      </w:r>
      <w:r w:rsidR="002130EE" w:rsidRPr="000408D6">
        <w:rPr>
          <w:rFonts w:cs="Arial"/>
          <w:b/>
        </w:rPr>
        <w:t xml:space="preserve">: </w:t>
      </w:r>
      <w:r w:rsidR="002130EE" w:rsidRPr="000408D6">
        <w:rPr>
          <w:rFonts w:cs="Arial"/>
        </w:rPr>
        <w:t>E</w:t>
      </w:r>
      <w:r w:rsidR="006B7C7D" w:rsidRPr="000408D6">
        <w:rPr>
          <w:rFonts w:cs="Arial"/>
        </w:rPr>
        <w:t>ach proposal must</w:t>
      </w:r>
      <w:r w:rsidR="009F1165" w:rsidRPr="000408D6">
        <w:rPr>
          <w:rFonts w:cs="Arial"/>
        </w:rPr>
        <w:t>:</w:t>
      </w:r>
      <w:r w:rsidR="006B7C7D" w:rsidRPr="000408D6">
        <w:rPr>
          <w:rFonts w:cs="Arial"/>
        </w:rPr>
        <w:t xml:space="preserve"> </w:t>
      </w:r>
      <w:r w:rsidRPr="000408D6">
        <w:rPr>
          <w:rFonts w:cs="Arial"/>
        </w:rPr>
        <w:t>(</w:t>
      </w:r>
      <w:r w:rsidR="009F1165" w:rsidRPr="000408D6">
        <w:rPr>
          <w:rFonts w:cs="Arial"/>
        </w:rPr>
        <w:t xml:space="preserve">1) implement an </w:t>
      </w:r>
      <w:r w:rsidR="00627AAD" w:rsidRPr="000408D6">
        <w:rPr>
          <w:rFonts w:cs="Arial"/>
        </w:rPr>
        <w:t>eligible activity</w:t>
      </w:r>
      <w:r w:rsidR="009F1165" w:rsidRPr="000408D6">
        <w:rPr>
          <w:rFonts w:cs="Arial"/>
        </w:rPr>
        <w:t xml:space="preserve"> </w:t>
      </w:r>
      <w:r w:rsidRPr="000408D6">
        <w:rPr>
          <w:rFonts w:cs="Arial"/>
        </w:rPr>
        <w:t>(</w:t>
      </w:r>
      <w:r w:rsidR="009F1165" w:rsidRPr="000408D6">
        <w:rPr>
          <w:rFonts w:cs="Arial"/>
        </w:rPr>
        <w:t>2) serv</w:t>
      </w:r>
      <w:r w:rsidR="00AB6A12" w:rsidRPr="000408D6">
        <w:rPr>
          <w:rFonts w:cs="Arial"/>
        </w:rPr>
        <w:t>e</w:t>
      </w:r>
      <w:r w:rsidR="009F1165" w:rsidRPr="000408D6">
        <w:rPr>
          <w:rFonts w:cs="Arial"/>
        </w:rPr>
        <w:t xml:space="preserve"> eligible beneficiaries and </w:t>
      </w:r>
      <w:r w:rsidRPr="000408D6">
        <w:rPr>
          <w:rFonts w:cs="Arial"/>
        </w:rPr>
        <w:t>(</w:t>
      </w:r>
      <w:r w:rsidR="009F1165" w:rsidRPr="000408D6">
        <w:rPr>
          <w:rFonts w:cs="Arial"/>
        </w:rPr>
        <w:t xml:space="preserve">3) </w:t>
      </w:r>
      <w:r w:rsidR="00F82784" w:rsidRPr="000408D6">
        <w:rPr>
          <w:rFonts w:cs="Arial"/>
        </w:rPr>
        <w:t>achieve</w:t>
      </w:r>
      <w:r w:rsidR="009F1165" w:rsidRPr="000408D6">
        <w:rPr>
          <w:rFonts w:cs="Arial"/>
        </w:rPr>
        <w:t xml:space="preserve"> an eligible objective </w:t>
      </w:r>
      <w:r w:rsidRPr="000408D6">
        <w:rPr>
          <w:rFonts w:cs="Arial"/>
        </w:rPr>
        <w:t>(</w:t>
      </w:r>
      <w:r w:rsidR="00541288" w:rsidRPr="000408D6">
        <w:rPr>
          <w:rFonts w:cs="Arial"/>
        </w:rPr>
        <w:t>4) at a r</w:t>
      </w:r>
      <w:r w:rsidR="009F1165" w:rsidRPr="000408D6">
        <w:rPr>
          <w:rFonts w:cs="Arial"/>
        </w:rPr>
        <w:t xml:space="preserve">easonable cost </w:t>
      </w:r>
      <w:r w:rsidR="00AB6A12" w:rsidRPr="000408D6">
        <w:rPr>
          <w:rFonts w:cs="Arial"/>
        </w:rPr>
        <w:t xml:space="preserve">and </w:t>
      </w:r>
      <w:r w:rsidRPr="000408D6">
        <w:rPr>
          <w:rFonts w:cs="Arial"/>
        </w:rPr>
        <w:t>(</w:t>
      </w:r>
      <w:r w:rsidR="00541288" w:rsidRPr="000408D6">
        <w:rPr>
          <w:rFonts w:cs="Arial"/>
        </w:rPr>
        <w:t xml:space="preserve">5) </w:t>
      </w:r>
      <w:r w:rsidR="00AB6A12" w:rsidRPr="000408D6">
        <w:rPr>
          <w:rFonts w:cs="Arial"/>
        </w:rPr>
        <w:t xml:space="preserve">be completed in </w:t>
      </w:r>
      <w:r w:rsidR="009F1165" w:rsidRPr="000408D6">
        <w:rPr>
          <w:rFonts w:cs="Arial"/>
        </w:rPr>
        <w:t xml:space="preserve">a timely manner. </w:t>
      </w:r>
      <w:r w:rsidR="00541288" w:rsidRPr="000408D6">
        <w:rPr>
          <w:rFonts w:cs="Arial"/>
        </w:rPr>
        <w:t xml:space="preserve">These five considerations are found in the HUD regulations </w:t>
      </w:r>
      <w:r w:rsidR="00946206" w:rsidRPr="000408D6">
        <w:rPr>
          <w:rFonts w:cs="Arial"/>
        </w:rPr>
        <w:t>at links provided</w:t>
      </w:r>
      <w:r w:rsidR="00541288" w:rsidRPr="000408D6">
        <w:rPr>
          <w:rFonts w:cs="Arial"/>
        </w:rPr>
        <w:t xml:space="preserve"> in the </w:t>
      </w:r>
      <w:r w:rsidR="00AB6A12" w:rsidRPr="000408D6">
        <w:rPr>
          <w:rFonts w:cs="Arial"/>
        </w:rPr>
        <w:t>table below</w:t>
      </w:r>
      <w:r w:rsidR="00541288" w:rsidRPr="000408D6">
        <w:rPr>
          <w:rFonts w:cs="Arial"/>
        </w:rPr>
        <w:t>. Additionally</w:t>
      </w:r>
      <w:r w:rsidR="00687933">
        <w:rPr>
          <w:rFonts w:cs="Arial"/>
        </w:rPr>
        <w:t>, CDBG is</w:t>
      </w:r>
      <w:r w:rsidR="00541288" w:rsidRPr="000408D6">
        <w:rPr>
          <w:rFonts w:cs="Arial"/>
        </w:rPr>
        <w:t xml:space="preserve"> subject to Federal Uniform Administrative Requirements, Cost Principles, and Audit Requirements </w:t>
      </w:r>
      <w:r w:rsidRPr="000408D6">
        <w:rPr>
          <w:rFonts w:cs="Arial"/>
        </w:rPr>
        <w:t xml:space="preserve">for </w:t>
      </w:r>
      <w:r w:rsidR="00541288" w:rsidRPr="000408D6">
        <w:rPr>
          <w:rFonts w:cs="Arial"/>
        </w:rPr>
        <w:t>Federal Awards found at 2 CFR 200.</w:t>
      </w:r>
    </w:p>
    <w:p w14:paraId="6B634376" w14:textId="77777777" w:rsidR="00DE4427" w:rsidRPr="000408D6" w:rsidRDefault="00DE4427" w:rsidP="00DE4427">
      <w:pPr>
        <w:pStyle w:val="ListParagraph"/>
        <w:spacing w:after="0"/>
        <w:rPr>
          <w:rFonts w:cs="Arial"/>
        </w:rPr>
      </w:pPr>
    </w:p>
    <w:tbl>
      <w:tblPr>
        <w:tblStyle w:val="TableGrid"/>
        <w:tblW w:w="8717" w:type="dxa"/>
        <w:jc w:val="center"/>
        <w:tblLayout w:type="fixed"/>
        <w:tblCellMar>
          <w:top w:w="72" w:type="dxa"/>
          <w:left w:w="115" w:type="dxa"/>
          <w:bottom w:w="72" w:type="dxa"/>
          <w:right w:w="115" w:type="dxa"/>
        </w:tblCellMar>
        <w:tblLook w:val="04A0" w:firstRow="1" w:lastRow="0" w:firstColumn="1" w:lastColumn="0" w:noHBand="0" w:noVBand="1"/>
      </w:tblPr>
      <w:tblGrid>
        <w:gridCol w:w="1800"/>
        <w:gridCol w:w="1980"/>
        <w:gridCol w:w="4937"/>
      </w:tblGrid>
      <w:tr w:rsidR="00427662" w:rsidRPr="000408D6" w14:paraId="665978CF" w14:textId="77777777" w:rsidTr="00E476FA">
        <w:trPr>
          <w:tblHeader/>
          <w:jc w:val="center"/>
        </w:trPr>
        <w:tc>
          <w:tcPr>
            <w:tcW w:w="1800" w:type="dxa"/>
            <w:shd w:val="clear" w:color="auto" w:fill="BFBFBF" w:themeFill="background1" w:themeFillShade="BF"/>
            <w:vAlign w:val="center"/>
          </w:tcPr>
          <w:p w14:paraId="48626008" w14:textId="77777777" w:rsidR="00427662" w:rsidRPr="000408D6" w:rsidRDefault="00427662" w:rsidP="00E476FA">
            <w:pPr>
              <w:pStyle w:val="TableText"/>
              <w:rPr>
                <w:rFonts w:cs="Arial"/>
                <w:b/>
              </w:rPr>
            </w:pPr>
            <w:r w:rsidRPr="000408D6">
              <w:rPr>
                <w:rFonts w:cs="Arial"/>
                <w:b/>
              </w:rPr>
              <w:t>Funding Source</w:t>
            </w:r>
          </w:p>
        </w:tc>
        <w:tc>
          <w:tcPr>
            <w:tcW w:w="1980" w:type="dxa"/>
            <w:shd w:val="clear" w:color="auto" w:fill="BFBFBF" w:themeFill="background1" w:themeFillShade="BF"/>
            <w:vAlign w:val="center"/>
          </w:tcPr>
          <w:p w14:paraId="010AF032" w14:textId="77777777" w:rsidR="00427662" w:rsidRPr="000408D6" w:rsidRDefault="00427662" w:rsidP="00E476FA">
            <w:pPr>
              <w:pStyle w:val="TableText"/>
              <w:rPr>
                <w:rFonts w:cs="Arial"/>
                <w:b/>
              </w:rPr>
            </w:pPr>
            <w:r w:rsidRPr="000408D6">
              <w:rPr>
                <w:rFonts w:cs="Arial"/>
                <w:b/>
              </w:rPr>
              <w:t>Program Regulation</w:t>
            </w:r>
          </w:p>
        </w:tc>
        <w:tc>
          <w:tcPr>
            <w:tcW w:w="4937" w:type="dxa"/>
            <w:shd w:val="clear" w:color="auto" w:fill="BFBFBF" w:themeFill="background1" w:themeFillShade="BF"/>
            <w:vAlign w:val="center"/>
          </w:tcPr>
          <w:p w14:paraId="1BAD671D" w14:textId="77777777" w:rsidR="00427662" w:rsidRPr="000408D6" w:rsidRDefault="00250696" w:rsidP="00E476FA">
            <w:pPr>
              <w:pStyle w:val="TableText"/>
              <w:rPr>
                <w:rFonts w:cs="Arial"/>
                <w:b/>
              </w:rPr>
            </w:pPr>
            <w:r w:rsidRPr="000408D6">
              <w:rPr>
                <w:rFonts w:cs="Arial"/>
                <w:b/>
              </w:rPr>
              <w:t xml:space="preserve">e-CFR </w:t>
            </w:r>
            <w:r w:rsidR="00427662" w:rsidRPr="000408D6">
              <w:rPr>
                <w:rFonts w:cs="Arial"/>
                <w:b/>
              </w:rPr>
              <w:t>Link</w:t>
            </w:r>
          </w:p>
        </w:tc>
      </w:tr>
      <w:tr w:rsidR="00427662" w:rsidRPr="000408D6" w14:paraId="7A037772" w14:textId="77777777" w:rsidTr="00E476FA">
        <w:trPr>
          <w:jc w:val="center"/>
        </w:trPr>
        <w:tc>
          <w:tcPr>
            <w:tcW w:w="1800" w:type="dxa"/>
            <w:shd w:val="clear" w:color="auto" w:fill="FFFFFF" w:themeFill="background1"/>
          </w:tcPr>
          <w:p w14:paraId="117C882A" w14:textId="77777777" w:rsidR="00427662" w:rsidRPr="000408D6" w:rsidRDefault="00427662" w:rsidP="00E476FA">
            <w:pPr>
              <w:pStyle w:val="TableText"/>
              <w:rPr>
                <w:rFonts w:cs="Arial"/>
              </w:rPr>
            </w:pPr>
            <w:r w:rsidRPr="000408D6">
              <w:rPr>
                <w:rFonts w:cs="Arial"/>
              </w:rPr>
              <w:t>CDBG</w:t>
            </w:r>
          </w:p>
        </w:tc>
        <w:tc>
          <w:tcPr>
            <w:tcW w:w="1980" w:type="dxa"/>
            <w:shd w:val="clear" w:color="auto" w:fill="FFFFFF" w:themeFill="background1"/>
          </w:tcPr>
          <w:p w14:paraId="71805EB7" w14:textId="77777777" w:rsidR="00427662" w:rsidRPr="000408D6" w:rsidRDefault="00427662" w:rsidP="00E476FA">
            <w:pPr>
              <w:pStyle w:val="TableText"/>
              <w:rPr>
                <w:rFonts w:cs="Arial"/>
              </w:rPr>
            </w:pPr>
            <w:r w:rsidRPr="000408D6">
              <w:rPr>
                <w:rFonts w:cs="Arial"/>
              </w:rPr>
              <w:t>24 CFR 570</w:t>
            </w:r>
          </w:p>
        </w:tc>
        <w:tc>
          <w:tcPr>
            <w:tcW w:w="4937" w:type="dxa"/>
            <w:shd w:val="clear" w:color="auto" w:fill="FFFFFF" w:themeFill="background1"/>
          </w:tcPr>
          <w:p w14:paraId="7A53C041" w14:textId="2BF83869" w:rsidR="00541288" w:rsidRPr="000408D6" w:rsidRDefault="00250696" w:rsidP="00687933">
            <w:pPr>
              <w:pStyle w:val="TableText"/>
              <w:rPr>
                <w:rFonts w:cs="Arial"/>
              </w:rPr>
            </w:pPr>
            <w:hyperlink r:id="rId21" w:history="1">
              <w:r w:rsidRPr="000408D6">
                <w:rPr>
                  <w:rStyle w:val="Hyperlink"/>
                  <w:rFonts w:cs="Arial"/>
                </w:rPr>
                <w:t>https://www.ecfr.gov/cgi-bin/text-idx?tpl=/ecfrbrowse/Title24/24cfr570_main_02.tpl</w:t>
              </w:r>
            </w:hyperlink>
            <w:r w:rsidRPr="000408D6">
              <w:rPr>
                <w:rFonts w:cs="Arial"/>
              </w:rPr>
              <w:t xml:space="preserve"> </w:t>
            </w:r>
          </w:p>
        </w:tc>
      </w:tr>
      <w:tr w:rsidR="00250696" w:rsidRPr="000408D6" w14:paraId="39FB96FF" w14:textId="77777777" w:rsidTr="00E476FA">
        <w:trPr>
          <w:jc w:val="center"/>
        </w:trPr>
        <w:tc>
          <w:tcPr>
            <w:tcW w:w="1800" w:type="dxa"/>
            <w:shd w:val="clear" w:color="auto" w:fill="FFFFFF" w:themeFill="background1"/>
          </w:tcPr>
          <w:p w14:paraId="3DA798B3" w14:textId="1FFF2DCD" w:rsidR="00250696" w:rsidRPr="000408D6" w:rsidRDefault="007A19E1" w:rsidP="00687933">
            <w:pPr>
              <w:pStyle w:val="TableText"/>
              <w:rPr>
                <w:rFonts w:cs="Arial"/>
              </w:rPr>
            </w:pPr>
            <w:r w:rsidRPr="000408D6">
              <w:rPr>
                <w:rFonts w:cs="Arial"/>
              </w:rPr>
              <w:t>Federal Uniform</w:t>
            </w:r>
            <w:r w:rsidR="00541288" w:rsidRPr="000408D6">
              <w:rPr>
                <w:rFonts w:cs="Arial"/>
              </w:rPr>
              <w:t xml:space="preserve"> Requirements </w:t>
            </w:r>
          </w:p>
        </w:tc>
        <w:tc>
          <w:tcPr>
            <w:tcW w:w="1980" w:type="dxa"/>
            <w:shd w:val="clear" w:color="auto" w:fill="FFFFFF" w:themeFill="background1"/>
          </w:tcPr>
          <w:p w14:paraId="6199EBE8" w14:textId="77777777" w:rsidR="00250696" w:rsidRPr="000408D6" w:rsidRDefault="00250696" w:rsidP="00E476FA">
            <w:pPr>
              <w:pStyle w:val="TableText"/>
              <w:rPr>
                <w:rFonts w:cs="Arial"/>
              </w:rPr>
            </w:pPr>
            <w:r w:rsidRPr="000408D6">
              <w:rPr>
                <w:rFonts w:cs="Arial"/>
              </w:rPr>
              <w:t>2 CFR 200</w:t>
            </w:r>
          </w:p>
        </w:tc>
        <w:tc>
          <w:tcPr>
            <w:tcW w:w="4937" w:type="dxa"/>
            <w:shd w:val="clear" w:color="auto" w:fill="FFFFFF" w:themeFill="background1"/>
          </w:tcPr>
          <w:p w14:paraId="2B1E06E7" w14:textId="72B4B99A" w:rsidR="00541288" w:rsidRPr="000408D6" w:rsidRDefault="00250696" w:rsidP="00687933">
            <w:pPr>
              <w:pStyle w:val="TableText"/>
              <w:rPr>
                <w:rFonts w:cs="Arial"/>
              </w:rPr>
            </w:pPr>
            <w:hyperlink r:id="rId22" w:history="1">
              <w:r w:rsidRPr="000408D6">
                <w:rPr>
                  <w:rStyle w:val="Hyperlink"/>
                  <w:rFonts w:cs="Arial"/>
                </w:rPr>
                <w:t>https://www.govinfo.gov/content/pkg/CFR-2014-title2-vol1/pdf/CFR-2014-title2-vol1-part200.pdf</w:t>
              </w:r>
            </w:hyperlink>
          </w:p>
        </w:tc>
      </w:tr>
    </w:tbl>
    <w:p w14:paraId="03DC8EA1" w14:textId="77777777" w:rsidR="00446076" w:rsidRPr="000408D6" w:rsidRDefault="00446076" w:rsidP="004A788C">
      <w:pPr>
        <w:rPr>
          <w:rFonts w:cs="Arial"/>
        </w:rPr>
      </w:pPr>
    </w:p>
    <w:p w14:paraId="3F586FBC" w14:textId="2F2B9D30" w:rsidR="004A788C" w:rsidRPr="000408D6" w:rsidRDefault="004A788C" w:rsidP="002D51A3">
      <w:pPr>
        <w:pStyle w:val="ListParagraph"/>
        <w:numPr>
          <w:ilvl w:val="0"/>
          <w:numId w:val="6"/>
        </w:numPr>
        <w:rPr>
          <w:rFonts w:cs="Arial"/>
        </w:rPr>
      </w:pPr>
      <w:r w:rsidRPr="000408D6">
        <w:rPr>
          <w:rFonts w:cs="Arial"/>
          <w:b/>
          <w:u w:val="single"/>
        </w:rPr>
        <w:t>Eligible Expenses</w:t>
      </w:r>
      <w:r w:rsidRPr="000408D6">
        <w:rPr>
          <w:rFonts w:cs="Arial"/>
        </w:rPr>
        <w:t>: Each proposal must budget only for ‘eligible expenses’ consistent with the applicable provisions of the program regulations identified in the</w:t>
      </w:r>
      <w:r w:rsidR="00AB6A12" w:rsidRPr="000408D6">
        <w:rPr>
          <w:rFonts w:cs="Arial"/>
        </w:rPr>
        <w:t xml:space="preserve"> table above. A budget narrative describing the types of expenses included in each line item shall be included with the application. </w:t>
      </w:r>
    </w:p>
    <w:p w14:paraId="53BD962C" w14:textId="30F41665" w:rsidR="00E87252" w:rsidRPr="000408D6" w:rsidRDefault="004A788C" w:rsidP="00AB6A12">
      <w:pPr>
        <w:pStyle w:val="ListParagraph"/>
        <w:numPr>
          <w:ilvl w:val="0"/>
          <w:numId w:val="6"/>
        </w:numPr>
        <w:spacing w:after="0"/>
        <w:rPr>
          <w:rFonts w:cs="Arial"/>
        </w:rPr>
      </w:pPr>
      <w:r w:rsidRPr="000408D6">
        <w:rPr>
          <w:rFonts w:cs="Arial"/>
          <w:b/>
          <w:u w:val="single"/>
        </w:rPr>
        <w:t>Financial and Management Systems</w:t>
      </w:r>
      <w:r w:rsidR="002E58DD" w:rsidRPr="000408D6">
        <w:rPr>
          <w:rFonts w:cs="Arial"/>
        </w:rPr>
        <w:t>:</w:t>
      </w:r>
      <w:r w:rsidR="008952A5" w:rsidRPr="000408D6">
        <w:rPr>
          <w:rFonts w:cs="Arial"/>
        </w:rPr>
        <w:t xml:space="preserve"> </w:t>
      </w:r>
      <w:r w:rsidR="002E58DD" w:rsidRPr="000408D6">
        <w:rPr>
          <w:rFonts w:cs="Arial"/>
        </w:rPr>
        <w:t xml:space="preserve">Each </w:t>
      </w:r>
      <w:r w:rsidR="003D7C8A">
        <w:rPr>
          <w:rFonts w:cs="Arial"/>
        </w:rPr>
        <w:t>applican</w:t>
      </w:r>
      <w:r w:rsidR="003D7C8A" w:rsidRPr="000408D6">
        <w:rPr>
          <w:rFonts w:cs="Arial"/>
        </w:rPr>
        <w:t xml:space="preserve">t </w:t>
      </w:r>
      <w:r w:rsidR="002E58DD" w:rsidRPr="000408D6">
        <w:rPr>
          <w:rFonts w:cs="Arial"/>
        </w:rPr>
        <w:t xml:space="preserve">must complete the Financial and Management Systems question </w:t>
      </w:r>
      <w:r w:rsidR="0088628C" w:rsidRPr="000408D6">
        <w:rPr>
          <w:rFonts w:cs="Arial"/>
        </w:rPr>
        <w:t xml:space="preserve">section of the </w:t>
      </w:r>
      <w:r w:rsidR="002E562D">
        <w:rPr>
          <w:rFonts w:cs="Arial"/>
        </w:rPr>
        <w:t>2026 – 2027</w:t>
      </w:r>
      <w:r w:rsidR="00AB6A12" w:rsidRPr="000408D6">
        <w:rPr>
          <w:rFonts w:cs="Arial"/>
        </w:rPr>
        <w:t xml:space="preserve"> </w:t>
      </w:r>
      <w:r w:rsidR="008952A5" w:rsidRPr="000408D6">
        <w:rPr>
          <w:rFonts w:cs="Arial"/>
        </w:rPr>
        <w:t xml:space="preserve">NOFA </w:t>
      </w:r>
    </w:p>
    <w:p w14:paraId="2503FE17" w14:textId="5B5B79F9" w:rsidR="00326BA7" w:rsidRPr="000408D6" w:rsidRDefault="00AB6A12" w:rsidP="00326BA7">
      <w:pPr>
        <w:pStyle w:val="ListParagraph"/>
        <w:spacing w:after="0"/>
        <w:rPr>
          <w:rFonts w:cs="Arial"/>
        </w:rPr>
      </w:pPr>
      <w:r w:rsidRPr="000408D6">
        <w:rPr>
          <w:rFonts w:cs="Arial"/>
        </w:rPr>
        <w:t>Cover Page</w:t>
      </w:r>
      <w:r w:rsidR="008952A5" w:rsidRPr="000408D6">
        <w:rPr>
          <w:rFonts w:cs="Arial"/>
        </w:rPr>
        <w:t xml:space="preserve">. </w:t>
      </w:r>
      <w:r w:rsidR="002E58DD" w:rsidRPr="000408D6">
        <w:rPr>
          <w:rFonts w:cs="Arial"/>
        </w:rPr>
        <w:t xml:space="preserve">Failure to answer the questions/requests for information </w:t>
      </w:r>
      <w:r w:rsidR="004A788C" w:rsidRPr="000408D6">
        <w:rPr>
          <w:rFonts w:cs="Arial"/>
        </w:rPr>
        <w:t xml:space="preserve">or to </w:t>
      </w:r>
      <w:r w:rsidR="002E58DD" w:rsidRPr="000408D6">
        <w:rPr>
          <w:rFonts w:cs="Arial"/>
        </w:rPr>
        <w:t xml:space="preserve">provide answers consistent with good financial management practices may </w:t>
      </w:r>
      <w:r w:rsidRPr="000408D6">
        <w:rPr>
          <w:rFonts w:cs="Arial"/>
        </w:rPr>
        <w:t>disqualify</w:t>
      </w:r>
      <w:r w:rsidR="002E58DD" w:rsidRPr="000408D6">
        <w:rPr>
          <w:rFonts w:cs="Arial"/>
        </w:rPr>
        <w:t xml:space="preserve"> the applicant for funding. </w:t>
      </w:r>
      <w:r w:rsidR="006879A9" w:rsidRPr="000408D6">
        <w:rPr>
          <w:rFonts w:cs="Arial"/>
        </w:rPr>
        <w:t xml:space="preserve">Successful applicants will be required to </w:t>
      </w:r>
      <w:r w:rsidR="00737E69">
        <w:rPr>
          <w:rFonts w:cs="Arial"/>
        </w:rPr>
        <w:lastRenderedPageBreak/>
        <w:t>maintain</w:t>
      </w:r>
      <w:r w:rsidR="00737E69" w:rsidRPr="000408D6">
        <w:rPr>
          <w:rFonts w:cs="Arial"/>
        </w:rPr>
        <w:t xml:space="preserve"> </w:t>
      </w:r>
      <w:r w:rsidR="006879A9" w:rsidRPr="000408D6">
        <w:rPr>
          <w:rFonts w:cs="Arial"/>
        </w:rPr>
        <w:t>evidence that the p</w:t>
      </w:r>
      <w:r w:rsidR="00E87252" w:rsidRPr="000408D6">
        <w:rPr>
          <w:rFonts w:cs="Arial"/>
        </w:rPr>
        <w:t xml:space="preserve">erson or people </w:t>
      </w:r>
      <w:r w:rsidR="006879A9" w:rsidRPr="000408D6">
        <w:rPr>
          <w:rFonts w:cs="Arial"/>
        </w:rPr>
        <w:t>overseeing</w:t>
      </w:r>
      <w:r w:rsidRPr="000408D6">
        <w:rPr>
          <w:rFonts w:cs="Arial"/>
        </w:rPr>
        <w:t xml:space="preserve"> the project or</w:t>
      </w:r>
      <w:r w:rsidR="006879A9" w:rsidRPr="000408D6">
        <w:rPr>
          <w:rFonts w:cs="Arial"/>
        </w:rPr>
        <w:t xml:space="preserve"> program has completed the HUD Exchange online Financial Management 101, 201</w:t>
      </w:r>
      <w:r w:rsidR="004A788C" w:rsidRPr="000408D6">
        <w:rPr>
          <w:rFonts w:cs="Arial"/>
        </w:rPr>
        <w:t>,</w:t>
      </w:r>
      <w:r w:rsidR="006879A9" w:rsidRPr="000408D6">
        <w:rPr>
          <w:rFonts w:cs="Arial"/>
        </w:rPr>
        <w:t xml:space="preserve"> and the applicable Advance</w:t>
      </w:r>
      <w:r w:rsidR="004A788C" w:rsidRPr="000408D6">
        <w:rPr>
          <w:rFonts w:cs="Arial"/>
        </w:rPr>
        <w:t>d</w:t>
      </w:r>
      <w:r w:rsidR="006879A9" w:rsidRPr="000408D6">
        <w:rPr>
          <w:rFonts w:cs="Arial"/>
        </w:rPr>
        <w:t xml:space="preserve"> Financial Management webinars and passed the associated tests/quizzes with an acceptable score.</w:t>
      </w:r>
      <w:r w:rsidR="00F82784">
        <w:rPr>
          <w:rFonts w:cs="Arial"/>
        </w:rPr>
        <w:t xml:space="preserve"> </w:t>
      </w:r>
      <w:r w:rsidR="00E87252" w:rsidRPr="000408D6">
        <w:rPr>
          <w:rFonts w:cs="Arial"/>
        </w:rPr>
        <w:t xml:space="preserve">The curriculum can be found at </w:t>
      </w:r>
      <w:hyperlink r:id="rId23" w:history="1">
        <w:r w:rsidR="00E87252" w:rsidRPr="000408D6">
          <w:rPr>
            <w:rStyle w:val="Hyperlink"/>
            <w:rFonts w:cs="Arial"/>
          </w:rPr>
          <w:t>https://www.hudexchange.info/trainings/financial-management-curriculum/</w:t>
        </w:r>
      </w:hyperlink>
      <w:r w:rsidR="00E87252" w:rsidRPr="000408D6">
        <w:rPr>
          <w:rFonts w:cs="Arial"/>
        </w:rPr>
        <w:t xml:space="preserve">. A certificate issued by HUD or a transcript printed from the manager’s/supervisor’s HUD Exchange account </w:t>
      </w:r>
      <w:r w:rsidR="00737E69">
        <w:rPr>
          <w:rFonts w:cs="Arial"/>
        </w:rPr>
        <w:t>must be retained according to federal document retention requirements</w:t>
      </w:r>
      <w:r w:rsidR="00E87252" w:rsidRPr="000408D6">
        <w:rPr>
          <w:rFonts w:cs="Arial"/>
        </w:rPr>
        <w:t xml:space="preserve">. Additionally, selected subrecipients will be required to participate in mandatory technical assistance training provided by the </w:t>
      </w:r>
      <w:proofErr w:type="gramStart"/>
      <w:r w:rsidR="00E87252" w:rsidRPr="000408D6">
        <w:rPr>
          <w:rFonts w:cs="Arial"/>
        </w:rPr>
        <w:t>City</w:t>
      </w:r>
      <w:proofErr w:type="gramEnd"/>
      <w:r w:rsidR="00E87252" w:rsidRPr="000408D6">
        <w:rPr>
          <w:rFonts w:cs="Arial"/>
        </w:rPr>
        <w:t xml:space="preserve"> before the start of the program year. Failure to attend the mandatory training may disqualify an entity from funding. </w:t>
      </w:r>
    </w:p>
    <w:p w14:paraId="64F50E62" w14:textId="77777777" w:rsidR="00AB6A12" w:rsidRPr="00F82784" w:rsidRDefault="00AB6A12" w:rsidP="00F82784">
      <w:pPr>
        <w:spacing w:after="0"/>
        <w:rPr>
          <w:rFonts w:cs="Arial"/>
        </w:rPr>
      </w:pPr>
    </w:p>
    <w:p w14:paraId="65F1F463" w14:textId="77777777" w:rsidR="0055602E" w:rsidRPr="000408D6" w:rsidRDefault="00561A2A" w:rsidP="00E476FA">
      <w:pPr>
        <w:rPr>
          <w:rFonts w:cs="Arial"/>
          <w:b/>
          <w:u w:val="single"/>
        </w:rPr>
      </w:pPr>
      <w:r w:rsidRPr="000408D6">
        <w:rPr>
          <w:rFonts w:cs="Arial"/>
          <w:b/>
          <w:u w:val="single"/>
        </w:rPr>
        <w:t>Important Additional Notes</w:t>
      </w:r>
    </w:p>
    <w:p w14:paraId="4FEE8E8A" w14:textId="77777777" w:rsidR="00326BA7" w:rsidRPr="000408D6" w:rsidRDefault="009966BB" w:rsidP="00326BA7">
      <w:pPr>
        <w:pStyle w:val="ListParagraph"/>
        <w:numPr>
          <w:ilvl w:val="0"/>
          <w:numId w:val="11"/>
        </w:numPr>
        <w:spacing w:after="0"/>
        <w:rPr>
          <w:rFonts w:cs="Arial"/>
          <w:b/>
        </w:rPr>
      </w:pPr>
      <w:r w:rsidRPr="000408D6">
        <w:rPr>
          <w:rFonts w:cs="Arial"/>
          <w:b/>
        </w:rPr>
        <w:t>Pre-Award Cost</w:t>
      </w:r>
    </w:p>
    <w:p w14:paraId="4AE5F9C3" w14:textId="7D15E837" w:rsidR="0055602E" w:rsidRPr="000408D6" w:rsidRDefault="002130EE" w:rsidP="00326BA7">
      <w:pPr>
        <w:pStyle w:val="ListParagraph"/>
        <w:spacing w:after="0"/>
        <w:rPr>
          <w:rFonts w:cs="Arial"/>
          <w:b/>
        </w:rPr>
      </w:pPr>
      <w:r w:rsidRPr="000408D6">
        <w:rPr>
          <w:rFonts w:cs="Arial"/>
        </w:rPr>
        <w:t xml:space="preserve">Applicants should note that any premature commitment or expenditure </w:t>
      </w:r>
      <w:r w:rsidR="00F82784" w:rsidRPr="000408D6">
        <w:rPr>
          <w:rFonts w:cs="Arial"/>
        </w:rPr>
        <w:t>on</w:t>
      </w:r>
      <w:r w:rsidRPr="000408D6">
        <w:rPr>
          <w:rFonts w:cs="Arial"/>
        </w:rPr>
        <w:t xml:space="preserve"> funds for proposed activities is prohibited. No project expenses will be eligible for CDBG reimbursement if they have been incurred or commissioned prior to a completed environmental review and clearance by the City. Project expenses will also not be eligible for reimbursement if they have been incurred or commissioned prior to the </w:t>
      </w:r>
      <w:r w:rsidR="00280F26" w:rsidRPr="000408D6">
        <w:rPr>
          <w:rFonts w:cs="Arial"/>
        </w:rPr>
        <w:t xml:space="preserve">commencement </w:t>
      </w:r>
      <w:r w:rsidRPr="000408D6">
        <w:rPr>
          <w:rFonts w:cs="Arial"/>
        </w:rPr>
        <w:t xml:space="preserve">date identified in the executed </w:t>
      </w:r>
      <w:r w:rsidR="00280F26" w:rsidRPr="000408D6">
        <w:rPr>
          <w:rFonts w:cs="Arial"/>
        </w:rPr>
        <w:t xml:space="preserve">subrecipient </w:t>
      </w:r>
      <w:r w:rsidRPr="000408D6">
        <w:rPr>
          <w:rFonts w:cs="Arial"/>
        </w:rPr>
        <w:t xml:space="preserve">agreement with the </w:t>
      </w:r>
      <w:r w:rsidR="008952A5" w:rsidRPr="000408D6">
        <w:rPr>
          <w:rFonts w:cs="Arial"/>
        </w:rPr>
        <w:t>City</w:t>
      </w:r>
      <w:r w:rsidRPr="000408D6">
        <w:rPr>
          <w:rFonts w:cs="Arial"/>
        </w:rPr>
        <w:t>.</w:t>
      </w:r>
    </w:p>
    <w:p w14:paraId="20B420DF" w14:textId="799483A0" w:rsidR="00253FA5" w:rsidRPr="000408D6" w:rsidRDefault="00253FA5">
      <w:pPr>
        <w:spacing w:after="0"/>
        <w:rPr>
          <w:rFonts w:eastAsia="Arial" w:cs="Arial"/>
          <w:b/>
        </w:rPr>
      </w:pPr>
    </w:p>
    <w:p w14:paraId="77D6B5AF" w14:textId="77777777" w:rsidR="00737E69" w:rsidRDefault="00737E69">
      <w:pPr>
        <w:spacing w:after="0"/>
        <w:rPr>
          <w:rFonts w:eastAsia="Arial" w:cs="Arial"/>
          <w:b/>
        </w:rPr>
      </w:pPr>
      <w:bookmarkStart w:id="14" w:name="IV._Application_Period_Support"/>
      <w:bookmarkStart w:id="15" w:name="_bookmark3"/>
      <w:bookmarkStart w:id="16" w:name="_Toc40977715"/>
      <w:bookmarkStart w:id="17" w:name="_Toc101449205"/>
      <w:bookmarkEnd w:id="14"/>
      <w:bookmarkEnd w:id="15"/>
      <w:r>
        <w:br w:type="page"/>
      </w:r>
    </w:p>
    <w:p w14:paraId="395DD5B7" w14:textId="5E477EC2" w:rsidR="0055602E" w:rsidRPr="000408D6" w:rsidRDefault="006D32C1" w:rsidP="00E476FA">
      <w:pPr>
        <w:pStyle w:val="Heading1"/>
        <w:rPr>
          <w:sz w:val="24"/>
        </w:rPr>
      </w:pPr>
      <w:r w:rsidRPr="000408D6">
        <w:rPr>
          <w:sz w:val="24"/>
        </w:rPr>
        <w:lastRenderedPageBreak/>
        <w:t>Application Period Support</w:t>
      </w:r>
      <w:bookmarkEnd w:id="16"/>
      <w:bookmarkEnd w:id="17"/>
    </w:p>
    <w:p w14:paraId="5FDCAAFD" w14:textId="77777777" w:rsidR="0055602E" w:rsidRPr="000408D6" w:rsidRDefault="00D8286D" w:rsidP="006D32C1">
      <w:pPr>
        <w:rPr>
          <w:rFonts w:cs="Arial"/>
        </w:rPr>
      </w:pPr>
      <w:r w:rsidRPr="000408D6">
        <w:rPr>
          <w:rFonts w:cs="Arial"/>
        </w:rPr>
        <w:t xml:space="preserve">The City is committed to </w:t>
      </w:r>
      <w:r w:rsidR="006D32C1" w:rsidRPr="000408D6">
        <w:rPr>
          <w:rFonts w:cs="Arial"/>
        </w:rPr>
        <w:t xml:space="preserve">encouraging and supporting </w:t>
      </w:r>
      <w:r w:rsidRPr="000408D6">
        <w:rPr>
          <w:rFonts w:cs="Arial"/>
        </w:rPr>
        <w:t xml:space="preserve">as many </w:t>
      </w:r>
      <w:r w:rsidR="006D32C1" w:rsidRPr="000408D6">
        <w:rPr>
          <w:rFonts w:cs="Arial"/>
        </w:rPr>
        <w:t xml:space="preserve">eligible </w:t>
      </w:r>
      <w:r w:rsidRPr="000408D6">
        <w:rPr>
          <w:rFonts w:cs="Arial"/>
        </w:rPr>
        <w:t xml:space="preserve">proposals </w:t>
      </w:r>
      <w:r w:rsidR="006D32C1" w:rsidRPr="000408D6">
        <w:rPr>
          <w:rFonts w:cs="Arial"/>
        </w:rPr>
        <w:t xml:space="preserve">from as many different applicants </w:t>
      </w:r>
      <w:r w:rsidRPr="000408D6">
        <w:rPr>
          <w:rFonts w:cs="Arial"/>
        </w:rPr>
        <w:t>as possible. The following resources will be available to applicants during the applicat</w:t>
      </w:r>
      <w:r w:rsidR="0003713E" w:rsidRPr="000408D6">
        <w:rPr>
          <w:rFonts w:cs="Arial"/>
        </w:rPr>
        <w:t>ion period.</w:t>
      </w:r>
      <w:r w:rsidR="006D32C1" w:rsidRPr="000408D6" w:rsidDel="006D32C1">
        <w:rPr>
          <w:rFonts w:cs="Arial"/>
        </w:rPr>
        <w:t xml:space="preserve"> </w:t>
      </w:r>
    </w:p>
    <w:p w14:paraId="2F98A020" w14:textId="77777777" w:rsidR="0003713E" w:rsidRPr="000408D6" w:rsidRDefault="006D32C1" w:rsidP="006D32C1">
      <w:pPr>
        <w:rPr>
          <w:rFonts w:cs="Arial"/>
          <w:b/>
          <w:u w:val="single"/>
        </w:rPr>
      </w:pPr>
      <w:r w:rsidRPr="000408D6">
        <w:rPr>
          <w:rFonts w:cs="Arial"/>
          <w:b/>
          <w:u w:val="single"/>
        </w:rPr>
        <w:t>Applicant Webinar</w:t>
      </w:r>
      <w:r w:rsidR="00167BA7" w:rsidRPr="000408D6">
        <w:rPr>
          <w:rFonts w:cs="Arial"/>
          <w:b/>
          <w:u w:val="single"/>
        </w:rPr>
        <w:t>s</w:t>
      </w:r>
    </w:p>
    <w:p w14:paraId="0D43BAE7" w14:textId="6C80F29F" w:rsidR="008C2240" w:rsidRPr="000408D6" w:rsidRDefault="003574B3" w:rsidP="006D32C1">
      <w:pPr>
        <w:rPr>
          <w:rFonts w:cs="Arial"/>
        </w:rPr>
      </w:pPr>
      <w:r w:rsidRPr="000408D6">
        <w:rPr>
          <w:rFonts w:cs="Arial"/>
        </w:rPr>
        <w:t xml:space="preserve">The </w:t>
      </w:r>
      <w:r w:rsidR="008C2240" w:rsidRPr="000408D6">
        <w:rPr>
          <w:rFonts w:cs="Arial"/>
        </w:rPr>
        <w:t>City present</w:t>
      </w:r>
      <w:r w:rsidR="00AB050C">
        <w:rPr>
          <w:rFonts w:cs="Arial"/>
        </w:rPr>
        <w:t>ed</w:t>
      </w:r>
      <w:r w:rsidR="008C2240" w:rsidRPr="000408D6">
        <w:rPr>
          <w:rFonts w:cs="Arial"/>
        </w:rPr>
        <w:t xml:space="preserve"> </w:t>
      </w:r>
      <w:r w:rsidR="001601F4">
        <w:rPr>
          <w:rFonts w:cs="Arial"/>
        </w:rPr>
        <w:t>pre</w:t>
      </w:r>
      <w:r w:rsidRPr="000408D6">
        <w:rPr>
          <w:rFonts w:cs="Arial"/>
        </w:rPr>
        <w:t>recorded</w:t>
      </w:r>
      <w:r w:rsidR="008C2240" w:rsidRPr="000408D6">
        <w:rPr>
          <w:rFonts w:cs="Arial"/>
        </w:rPr>
        <w:t xml:space="preserve"> webinar</w:t>
      </w:r>
      <w:r w:rsidRPr="000408D6">
        <w:rPr>
          <w:rFonts w:cs="Arial"/>
        </w:rPr>
        <w:t>s</w:t>
      </w:r>
      <w:r w:rsidR="008C2240" w:rsidRPr="000408D6">
        <w:rPr>
          <w:rFonts w:cs="Arial"/>
        </w:rPr>
        <w:t xml:space="preserve"> </w:t>
      </w:r>
      <w:r w:rsidRPr="000408D6">
        <w:rPr>
          <w:rFonts w:cs="Arial"/>
        </w:rPr>
        <w:t>addressing</w:t>
      </w:r>
      <w:r w:rsidR="008C2240" w:rsidRPr="000408D6">
        <w:rPr>
          <w:rFonts w:cs="Arial"/>
        </w:rPr>
        <w:t xml:space="preserve"> the NOFA process</w:t>
      </w:r>
      <w:r w:rsidR="003F58C3" w:rsidRPr="000408D6">
        <w:rPr>
          <w:rFonts w:cs="Arial"/>
        </w:rPr>
        <w:t xml:space="preserve">, threshold eligibility requirements, </w:t>
      </w:r>
      <w:r w:rsidR="00AF6FCB" w:rsidRPr="000408D6">
        <w:rPr>
          <w:rFonts w:cs="Arial"/>
        </w:rPr>
        <w:t xml:space="preserve">and Federal </w:t>
      </w:r>
      <w:r w:rsidR="003F58C3" w:rsidRPr="000408D6">
        <w:rPr>
          <w:rFonts w:cs="Arial"/>
        </w:rPr>
        <w:t>requirements for all applicants</w:t>
      </w:r>
      <w:r w:rsidRPr="000408D6">
        <w:rPr>
          <w:rFonts w:cs="Arial"/>
        </w:rPr>
        <w:t xml:space="preserve">, technical </w:t>
      </w:r>
      <w:proofErr w:type="gramStart"/>
      <w:r w:rsidRPr="000408D6">
        <w:rPr>
          <w:rFonts w:cs="Arial"/>
        </w:rPr>
        <w:t>consideration</w:t>
      </w:r>
      <w:proofErr w:type="gramEnd"/>
      <w:r w:rsidRPr="000408D6">
        <w:rPr>
          <w:rFonts w:cs="Arial"/>
        </w:rPr>
        <w:t>, and programmatic considerations</w:t>
      </w:r>
      <w:r w:rsidR="003F58C3" w:rsidRPr="000408D6">
        <w:rPr>
          <w:rFonts w:cs="Arial"/>
        </w:rPr>
        <w:t xml:space="preserve">. </w:t>
      </w:r>
      <w:r w:rsidR="008C2240" w:rsidRPr="000408D6">
        <w:rPr>
          <w:rFonts w:cs="Arial"/>
        </w:rPr>
        <w:t xml:space="preserve">Topics will include: </w:t>
      </w:r>
    </w:p>
    <w:p w14:paraId="7A65EA22" w14:textId="77777777" w:rsidR="008C2240" w:rsidRDefault="008C2240" w:rsidP="003574B3">
      <w:pPr>
        <w:pStyle w:val="ListParagraph"/>
        <w:numPr>
          <w:ilvl w:val="0"/>
          <w:numId w:val="11"/>
        </w:numPr>
        <w:spacing w:after="0"/>
        <w:rPr>
          <w:rFonts w:cs="Arial"/>
        </w:rPr>
      </w:pPr>
      <w:r w:rsidRPr="000408D6">
        <w:rPr>
          <w:rFonts w:cs="Arial"/>
        </w:rPr>
        <w:t>Eligible organizations, activities, and expenses</w:t>
      </w:r>
    </w:p>
    <w:p w14:paraId="7BC81468" w14:textId="77777777" w:rsidR="00DE4427" w:rsidRPr="000408D6" w:rsidRDefault="00DE4427" w:rsidP="00DE4427">
      <w:pPr>
        <w:pStyle w:val="ListParagraph"/>
        <w:spacing w:after="0"/>
        <w:rPr>
          <w:rFonts w:cs="Arial"/>
        </w:rPr>
      </w:pPr>
    </w:p>
    <w:p w14:paraId="32D41FBA" w14:textId="77777777" w:rsidR="008C2240" w:rsidRDefault="008C2240" w:rsidP="003574B3">
      <w:pPr>
        <w:pStyle w:val="ListParagraph"/>
        <w:numPr>
          <w:ilvl w:val="0"/>
          <w:numId w:val="11"/>
        </w:numPr>
        <w:spacing w:after="0"/>
        <w:rPr>
          <w:rFonts w:cs="Arial"/>
        </w:rPr>
      </w:pPr>
      <w:r w:rsidRPr="000408D6">
        <w:rPr>
          <w:rFonts w:cs="Arial"/>
        </w:rPr>
        <w:t>Federal administrative requirements</w:t>
      </w:r>
    </w:p>
    <w:p w14:paraId="06AAFD92" w14:textId="77777777" w:rsidR="00DE4427" w:rsidRPr="00DE4427" w:rsidRDefault="00DE4427" w:rsidP="00DE4427">
      <w:pPr>
        <w:spacing w:after="0"/>
        <w:rPr>
          <w:rFonts w:cs="Arial"/>
        </w:rPr>
      </w:pPr>
    </w:p>
    <w:p w14:paraId="0ED1E256" w14:textId="77777777" w:rsidR="008C2240" w:rsidRPr="000408D6" w:rsidRDefault="008C2240" w:rsidP="003574B3">
      <w:pPr>
        <w:pStyle w:val="ListParagraph"/>
        <w:numPr>
          <w:ilvl w:val="0"/>
          <w:numId w:val="11"/>
        </w:numPr>
        <w:spacing w:after="0"/>
        <w:rPr>
          <w:rFonts w:cs="Arial"/>
        </w:rPr>
      </w:pPr>
      <w:r w:rsidRPr="000408D6">
        <w:rPr>
          <w:rFonts w:cs="Arial"/>
        </w:rPr>
        <w:t>Application process</w:t>
      </w:r>
    </w:p>
    <w:p w14:paraId="4EFE6067" w14:textId="77777777" w:rsidR="003574B3" w:rsidRPr="000408D6" w:rsidRDefault="003574B3" w:rsidP="003574B3">
      <w:pPr>
        <w:spacing w:after="0"/>
        <w:rPr>
          <w:rFonts w:cs="Arial"/>
        </w:rPr>
      </w:pPr>
    </w:p>
    <w:p w14:paraId="39C1C8C0" w14:textId="037B2E0A" w:rsidR="0003713E" w:rsidRPr="000408D6" w:rsidRDefault="003574B3" w:rsidP="00167BA7">
      <w:pPr>
        <w:rPr>
          <w:rFonts w:cs="Arial"/>
        </w:rPr>
      </w:pPr>
      <w:r w:rsidRPr="000408D6">
        <w:rPr>
          <w:rFonts w:cs="Arial"/>
        </w:rPr>
        <w:t xml:space="preserve">Webinars </w:t>
      </w:r>
      <w:r w:rsidR="00AB050C">
        <w:rPr>
          <w:rFonts w:cs="Arial"/>
        </w:rPr>
        <w:t>were</w:t>
      </w:r>
      <w:r w:rsidR="00167BA7" w:rsidRPr="000408D6">
        <w:rPr>
          <w:rFonts w:cs="Arial"/>
        </w:rPr>
        <w:t xml:space="preserve"> recorded and made available </w:t>
      </w:r>
      <w:r w:rsidR="00AB050C">
        <w:rPr>
          <w:rFonts w:cs="Arial"/>
        </w:rPr>
        <w:t xml:space="preserve">under the 2026-2027 Consolidated NOFA Technical Assistance Webinars </w:t>
      </w:r>
      <w:r w:rsidR="00167BA7" w:rsidRPr="000408D6">
        <w:rPr>
          <w:rFonts w:cs="Arial"/>
        </w:rPr>
        <w:t xml:space="preserve">on the website of the Community Development Division at </w:t>
      </w:r>
      <w:hyperlink r:id="rId24" w:history="1">
        <w:r w:rsidR="00167BA7" w:rsidRPr="000408D6">
          <w:rPr>
            <w:rStyle w:val="Hyperlink"/>
            <w:rFonts w:cs="Arial"/>
          </w:rPr>
          <w:t>www.fresno.gov/housing</w:t>
        </w:r>
      </w:hyperlink>
      <w:r w:rsidR="00167BA7" w:rsidRPr="000408D6">
        <w:rPr>
          <w:rFonts w:cs="Arial"/>
        </w:rPr>
        <w:t>.</w:t>
      </w:r>
    </w:p>
    <w:p w14:paraId="5A3F37C7" w14:textId="77777777" w:rsidR="0003713E" w:rsidRPr="000408D6" w:rsidRDefault="0003713E" w:rsidP="006D32C1">
      <w:pPr>
        <w:rPr>
          <w:rFonts w:cs="Arial"/>
          <w:b/>
          <w:u w:val="single"/>
        </w:rPr>
      </w:pPr>
      <w:r w:rsidRPr="000408D6">
        <w:rPr>
          <w:rFonts w:cs="Arial"/>
          <w:b/>
          <w:u w:val="single"/>
        </w:rPr>
        <w:t>One-to-One Technical Assistance</w:t>
      </w:r>
    </w:p>
    <w:p w14:paraId="464BB8D1" w14:textId="547DAA69" w:rsidR="00D05BA9" w:rsidRPr="000408D6" w:rsidRDefault="00D05BA9" w:rsidP="00167BA7">
      <w:pPr>
        <w:rPr>
          <w:rFonts w:cs="Arial"/>
        </w:rPr>
      </w:pPr>
      <w:r w:rsidRPr="000408D6">
        <w:rPr>
          <w:rFonts w:cs="Arial"/>
        </w:rPr>
        <w:t xml:space="preserve">You may schedule a one-on-one meeting with </w:t>
      </w:r>
      <w:r w:rsidR="00B43594" w:rsidRPr="000408D6">
        <w:rPr>
          <w:rFonts w:cs="Arial"/>
        </w:rPr>
        <w:t xml:space="preserve">the </w:t>
      </w:r>
      <w:proofErr w:type="gramStart"/>
      <w:r w:rsidRPr="000408D6">
        <w:rPr>
          <w:rFonts w:cs="Arial"/>
        </w:rPr>
        <w:t>City</w:t>
      </w:r>
      <w:proofErr w:type="gramEnd"/>
      <w:r w:rsidRPr="000408D6">
        <w:rPr>
          <w:rFonts w:cs="Arial"/>
        </w:rPr>
        <w:t xml:space="preserve"> staff member responsible for administering the</w:t>
      </w:r>
      <w:r w:rsidR="007B25EB" w:rsidRPr="000408D6">
        <w:rPr>
          <w:rFonts w:cs="Arial"/>
        </w:rPr>
        <w:t xml:space="preserve"> programs under </w:t>
      </w:r>
      <w:r w:rsidR="00F83D18">
        <w:rPr>
          <w:rFonts w:cs="Arial"/>
        </w:rPr>
        <w:t xml:space="preserve">this </w:t>
      </w:r>
      <w:r w:rsidRPr="000408D6">
        <w:rPr>
          <w:rFonts w:cs="Arial"/>
        </w:rPr>
        <w:t>NOFA</w:t>
      </w:r>
      <w:r w:rsidR="007B25EB" w:rsidRPr="000408D6">
        <w:rPr>
          <w:rFonts w:cs="Arial"/>
        </w:rPr>
        <w:t xml:space="preserve">. </w:t>
      </w:r>
      <w:r w:rsidRPr="000408D6">
        <w:rPr>
          <w:rFonts w:cs="Arial"/>
        </w:rPr>
        <w:t>Appointments are required and times</w:t>
      </w:r>
      <w:r w:rsidR="00F83D18">
        <w:rPr>
          <w:rFonts w:cs="Arial"/>
        </w:rPr>
        <w:t xml:space="preserve"> are</w:t>
      </w:r>
      <w:r w:rsidRPr="000408D6">
        <w:rPr>
          <w:rFonts w:cs="Arial"/>
        </w:rPr>
        <w:t xml:space="preserve"> based on City staff member availability. </w:t>
      </w:r>
      <w:r w:rsidR="00B43594" w:rsidRPr="000408D6">
        <w:rPr>
          <w:rFonts w:cs="Arial"/>
        </w:rPr>
        <w:t>To schedule a meeting, contact:</w:t>
      </w:r>
    </w:p>
    <w:p w14:paraId="2B971381" w14:textId="6F9FD539" w:rsidR="00EC0950" w:rsidRPr="000408D6" w:rsidRDefault="00EC0950" w:rsidP="007B25EB">
      <w:pPr>
        <w:spacing w:after="0"/>
        <w:ind w:left="720"/>
        <w:rPr>
          <w:rFonts w:cs="Arial"/>
        </w:rPr>
      </w:pPr>
      <w:r w:rsidRPr="000408D6">
        <w:rPr>
          <w:rFonts w:cs="Arial"/>
          <w:b/>
        </w:rPr>
        <w:t>Fair Housing</w:t>
      </w:r>
    </w:p>
    <w:p w14:paraId="7412BE72" w14:textId="77777777" w:rsidR="007B25EB" w:rsidRPr="000408D6" w:rsidRDefault="007B25EB" w:rsidP="007B25EB">
      <w:pPr>
        <w:spacing w:after="0"/>
        <w:ind w:left="720"/>
        <w:rPr>
          <w:rStyle w:val="Hyperlink"/>
          <w:rFonts w:cs="Arial"/>
        </w:rPr>
      </w:pPr>
      <w:r w:rsidRPr="000408D6">
        <w:rPr>
          <w:rFonts w:cs="Arial"/>
        </w:rPr>
        <w:t xml:space="preserve">Kimberly Archie, Senior Management Analyst, </w:t>
      </w:r>
      <w:hyperlink r:id="rId25" w:history="1">
        <w:r w:rsidRPr="000408D6">
          <w:rPr>
            <w:rStyle w:val="Hyperlink"/>
            <w:rFonts w:cs="Arial"/>
          </w:rPr>
          <w:t>Kimberly.Archie@fresno.gov</w:t>
        </w:r>
      </w:hyperlink>
    </w:p>
    <w:p w14:paraId="133BB170" w14:textId="5F621143" w:rsidR="007B25EB" w:rsidRPr="000408D6" w:rsidRDefault="007B25EB" w:rsidP="007B25EB">
      <w:pPr>
        <w:spacing w:after="0"/>
        <w:ind w:left="720"/>
        <w:rPr>
          <w:rFonts w:cs="Arial"/>
        </w:rPr>
      </w:pPr>
      <w:r w:rsidRPr="000408D6">
        <w:rPr>
          <w:rFonts w:cs="Arial"/>
        </w:rPr>
        <w:t xml:space="preserve">cc: Akio Lopez, Senior Management Analyst, </w:t>
      </w:r>
      <w:hyperlink r:id="rId26" w:history="1">
        <w:r w:rsidRPr="000408D6">
          <w:rPr>
            <w:rStyle w:val="Hyperlink"/>
            <w:rFonts w:cs="Arial"/>
          </w:rPr>
          <w:t>Akio.Lopez@fresno.gov</w:t>
        </w:r>
      </w:hyperlink>
    </w:p>
    <w:p w14:paraId="52921A54" w14:textId="77777777" w:rsidR="007B25EB" w:rsidRPr="000408D6" w:rsidRDefault="007B25EB" w:rsidP="007B25EB">
      <w:pPr>
        <w:spacing w:after="0"/>
        <w:ind w:left="720"/>
        <w:rPr>
          <w:rStyle w:val="Hyperlink"/>
          <w:rFonts w:cs="Arial"/>
          <w:color w:val="auto"/>
          <w:u w:val="none"/>
        </w:rPr>
      </w:pPr>
    </w:p>
    <w:p w14:paraId="79845566" w14:textId="77777777" w:rsidR="008F0501" w:rsidRPr="000408D6" w:rsidRDefault="008F0501" w:rsidP="00E476FA">
      <w:pPr>
        <w:ind w:left="720"/>
        <w:rPr>
          <w:rFonts w:cs="Arial"/>
          <w:b/>
        </w:rPr>
      </w:pPr>
      <w:r w:rsidRPr="000408D6">
        <w:rPr>
          <w:rFonts w:cs="Arial"/>
          <w:b/>
        </w:rPr>
        <w:t>General Inquiries</w:t>
      </w:r>
      <w:r w:rsidRPr="000408D6">
        <w:rPr>
          <w:rFonts w:cs="Arial"/>
          <w:b/>
        </w:rPr>
        <w:br/>
      </w:r>
      <w:hyperlink r:id="rId27" w:history="1">
        <w:r w:rsidRPr="000408D6">
          <w:rPr>
            <w:rStyle w:val="Hyperlink"/>
            <w:rFonts w:cs="Arial"/>
          </w:rPr>
          <w:t>HCDD@fresno.gov</w:t>
        </w:r>
      </w:hyperlink>
      <w:r w:rsidRPr="000408D6">
        <w:rPr>
          <w:rFonts w:cs="Arial"/>
          <w:b/>
        </w:rPr>
        <w:t xml:space="preserve"> </w:t>
      </w:r>
    </w:p>
    <w:p w14:paraId="64CD1F04" w14:textId="77777777" w:rsidR="00253FA5" w:rsidRPr="000408D6" w:rsidRDefault="00253FA5" w:rsidP="00CE6D28">
      <w:pPr>
        <w:tabs>
          <w:tab w:val="left" w:pos="6785"/>
        </w:tabs>
        <w:jc w:val="center"/>
        <w:rPr>
          <w:rFonts w:cs="Arial"/>
        </w:rPr>
      </w:pPr>
    </w:p>
    <w:p w14:paraId="09CBE34C" w14:textId="2828A656" w:rsidR="00C25E59" w:rsidRPr="000408D6" w:rsidRDefault="00253FA5" w:rsidP="00C25E59">
      <w:pPr>
        <w:spacing w:after="0"/>
        <w:rPr>
          <w:rFonts w:cs="Arial"/>
        </w:rPr>
      </w:pPr>
      <w:r w:rsidRPr="000408D6">
        <w:rPr>
          <w:rFonts w:cs="Arial"/>
        </w:rPr>
        <w:br w:type="page"/>
      </w:r>
      <w:bookmarkStart w:id="18" w:name="_Toc40977716"/>
    </w:p>
    <w:p w14:paraId="271C48F8" w14:textId="678AF598" w:rsidR="00CE6D28" w:rsidRPr="000408D6" w:rsidRDefault="00CE6D28" w:rsidP="00C25E59">
      <w:pPr>
        <w:pStyle w:val="Heading1"/>
        <w:jc w:val="center"/>
        <w:rPr>
          <w:sz w:val="24"/>
        </w:rPr>
      </w:pPr>
      <w:bookmarkStart w:id="19" w:name="_Toc101449206"/>
      <w:r w:rsidRPr="000408D6">
        <w:rPr>
          <w:sz w:val="24"/>
        </w:rPr>
        <w:lastRenderedPageBreak/>
        <w:t>Appendices</w:t>
      </w:r>
      <w:bookmarkEnd w:id="18"/>
      <w:bookmarkEnd w:id="19"/>
    </w:p>
    <w:p w14:paraId="48BDC5FA" w14:textId="77777777" w:rsidR="00E60932" w:rsidRPr="000408D6" w:rsidRDefault="00E60932" w:rsidP="00E60932">
      <w:pPr>
        <w:pStyle w:val="Heading2"/>
        <w:rPr>
          <w:sz w:val="24"/>
          <w:szCs w:val="24"/>
        </w:rPr>
      </w:pPr>
      <w:bookmarkStart w:id="20" w:name="_Toc101449207"/>
      <w:r w:rsidRPr="000408D6">
        <w:rPr>
          <w:sz w:val="24"/>
          <w:szCs w:val="24"/>
        </w:rPr>
        <w:t>Appendix A: CDBG Program Description – Fair Housing (only)</w:t>
      </w:r>
      <w:bookmarkEnd w:id="20"/>
    </w:p>
    <w:p w14:paraId="3360DCB7" w14:textId="517EBA4B" w:rsidR="00E60932" w:rsidRPr="000408D6" w:rsidRDefault="00E60932" w:rsidP="00E60932">
      <w:pPr>
        <w:rPr>
          <w:rFonts w:cs="Arial"/>
        </w:rPr>
      </w:pPr>
      <w:r w:rsidRPr="000408D6">
        <w:rPr>
          <w:rFonts w:cs="Arial"/>
        </w:rPr>
        <w:br/>
        <w:t xml:space="preserve">The Community Development Block Grant (CDBG) </w:t>
      </w:r>
      <w:r w:rsidR="007B25EB" w:rsidRPr="000408D6">
        <w:rPr>
          <w:rFonts w:cs="Arial"/>
        </w:rPr>
        <w:t>p</w:t>
      </w:r>
      <w:r w:rsidRPr="000408D6">
        <w:rPr>
          <w:rFonts w:cs="Arial"/>
        </w:rPr>
        <w:t xml:space="preserve">rogram is </w:t>
      </w:r>
      <w:r w:rsidR="007B25EB" w:rsidRPr="000408D6">
        <w:rPr>
          <w:rFonts w:cs="Arial"/>
        </w:rPr>
        <w:t xml:space="preserve">administered by </w:t>
      </w:r>
      <w:r w:rsidRPr="000408D6">
        <w:rPr>
          <w:rFonts w:cs="Arial"/>
        </w:rPr>
        <w:t xml:space="preserve">HUD and is authorized under Title 1 of the Housing and Community Development Act of 1974, as amended. The purpose of the CDBG Program is to enhance and maintain viable urban communities through the provision of decent housing, a suitable living environment, and the expansion of economic opportunities, principally for low- and moderate-income </w:t>
      </w:r>
      <w:proofErr w:type="gramStart"/>
      <w:r w:rsidRPr="000408D6">
        <w:rPr>
          <w:rFonts w:cs="Arial"/>
        </w:rPr>
        <w:t>persons</w:t>
      </w:r>
      <w:proofErr w:type="gramEnd"/>
      <w:r w:rsidRPr="000408D6">
        <w:rPr>
          <w:rFonts w:cs="Arial"/>
        </w:rPr>
        <w:t>.</w:t>
      </w:r>
    </w:p>
    <w:p w14:paraId="2ED068DB" w14:textId="3566E453" w:rsidR="005E0360" w:rsidRPr="000408D6" w:rsidRDefault="00E60932" w:rsidP="00E60932">
      <w:pPr>
        <w:rPr>
          <w:rFonts w:cs="Arial"/>
        </w:rPr>
      </w:pPr>
      <w:r w:rsidRPr="000408D6">
        <w:rPr>
          <w:rFonts w:cs="Arial"/>
        </w:rPr>
        <w:t>The City is a recipient of CDBG formula entitlement funding and manages the delivery of the funding for eligible activities meeting HUD national objectives or administrative activity exempt from meeting a national objective. Fair Housing is eligible in two circumstances:</w:t>
      </w:r>
    </w:p>
    <w:p w14:paraId="6F6F32C7" w14:textId="30F21E14" w:rsidR="00E60932" w:rsidRPr="000408D6" w:rsidRDefault="00E60932" w:rsidP="00E60932">
      <w:pPr>
        <w:pStyle w:val="ListParagraph"/>
        <w:numPr>
          <w:ilvl w:val="0"/>
          <w:numId w:val="28"/>
        </w:numPr>
        <w:rPr>
          <w:rFonts w:cs="Arial"/>
        </w:rPr>
      </w:pPr>
      <w:r w:rsidRPr="000408D6">
        <w:rPr>
          <w:rFonts w:cs="Arial"/>
        </w:rPr>
        <w:t xml:space="preserve">Fair Housing </w:t>
      </w:r>
      <w:r w:rsidR="00E015F7">
        <w:rPr>
          <w:rFonts w:cs="Arial"/>
        </w:rPr>
        <w:t>Activities</w:t>
      </w:r>
      <w:r w:rsidR="00E015F7" w:rsidRPr="000408D6">
        <w:rPr>
          <w:rFonts w:cs="Arial"/>
        </w:rPr>
        <w:t xml:space="preserve"> </w:t>
      </w:r>
      <w:r w:rsidRPr="000408D6">
        <w:rPr>
          <w:rFonts w:cs="Arial"/>
        </w:rPr>
        <w:t xml:space="preserve">as a Public Service Activity meeting a National Objective, or </w:t>
      </w:r>
    </w:p>
    <w:p w14:paraId="17FBFE85" w14:textId="43B3FBE0" w:rsidR="00E60932" w:rsidRPr="000408D6" w:rsidRDefault="00E60932" w:rsidP="00E60932">
      <w:pPr>
        <w:pStyle w:val="ListParagraph"/>
        <w:numPr>
          <w:ilvl w:val="0"/>
          <w:numId w:val="28"/>
        </w:numPr>
        <w:rPr>
          <w:rFonts w:cs="Arial"/>
        </w:rPr>
      </w:pPr>
      <w:r w:rsidRPr="000408D6">
        <w:rPr>
          <w:rFonts w:cs="Arial"/>
        </w:rPr>
        <w:t xml:space="preserve">Fair Housing Administration advancing the City’s administrative efforts to </w:t>
      </w:r>
      <w:r w:rsidR="00A851BA" w:rsidRPr="000408D6">
        <w:rPr>
          <w:rFonts w:cs="Arial"/>
        </w:rPr>
        <w:t>meet HUD</w:t>
      </w:r>
      <w:r w:rsidRPr="000408D6">
        <w:rPr>
          <w:rFonts w:cs="Arial"/>
        </w:rPr>
        <w:t xml:space="preserve"> requirements for furthering the fair housing objectives of the Fair Housing Act (42 U.S.C. 3601-20)</w:t>
      </w:r>
    </w:p>
    <w:p w14:paraId="40CB3B06" w14:textId="536AAD07" w:rsidR="004544EC" w:rsidRDefault="00E60932" w:rsidP="00E60932">
      <w:pPr>
        <w:rPr>
          <w:rFonts w:cs="Arial"/>
        </w:rPr>
      </w:pPr>
      <w:r w:rsidRPr="000408D6">
        <w:rPr>
          <w:rFonts w:cs="Arial"/>
        </w:rPr>
        <w:t>For both, the beneficiaries of the CDBG fair housing funding must have their principal residence within the City of Fresno</w:t>
      </w:r>
      <w:r w:rsidR="00A851BA" w:rsidRPr="000408D6">
        <w:rPr>
          <w:rFonts w:cs="Arial"/>
        </w:rPr>
        <w:t>.</w:t>
      </w:r>
    </w:p>
    <w:p w14:paraId="5299C360" w14:textId="4475BCB7" w:rsidR="004544EC" w:rsidRPr="000408D6" w:rsidRDefault="004544EC" w:rsidP="00E60932">
      <w:pPr>
        <w:rPr>
          <w:rFonts w:cs="Arial"/>
        </w:rPr>
      </w:pPr>
      <w:r>
        <w:rPr>
          <w:rFonts w:cs="Arial"/>
        </w:rPr>
        <w:t xml:space="preserve">Under this NOFA, the </w:t>
      </w:r>
      <w:proofErr w:type="gramStart"/>
      <w:r>
        <w:rPr>
          <w:rFonts w:cs="Arial"/>
        </w:rPr>
        <w:t>City</w:t>
      </w:r>
      <w:proofErr w:type="gramEnd"/>
      <w:r>
        <w:rPr>
          <w:rFonts w:cs="Arial"/>
        </w:rPr>
        <w:t xml:space="preserve"> is seeking Fair Housing Activities as a Public Service. </w:t>
      </w:r>
    </w:p>
    <w:p w14:paraId="334B7A61" w14:textId="40F329CE" w:rsidR="00E60932" w:rsidRPr="000408D6" w:rsidRDefault="00E60932" w:rsidP="00E60932">
      <w:pPr>
        <w:spacing w:after="0"/>
        <w:rPr>
          <w:rFonts w:cs="Arial"/>
          <w:b/>
        </w:rPr>
      </w:pPr>
      <w:r w:rsidRPr="000408D6">
        <w:rPr>
          <w:rFonts w:cs="Arial"/>
          <w:b/>
        </w:rPr>
        <w:t xml:space="preserve">Fair Housing </w:t>
      </w:r>
      <w:r w:rsidR="00E015F7">
        <w:rPr>
          <w:rFonts w:cs="Arial"/>
          <w:b/>
        </w:rPr>
        <w:t>Activities</w:t>
      </w:r>
    </w:p>
    <w:p w14:paraId="71A2AB55" w14:textId="705189E6" w:rsidR="00E60932" w:rsidRPr="000408D6" w:rsidRDefault="00E60932" w:rsidP="00E60932">
      <w:pPr>
        <w:spacing w:after="0"/>
        <w:rPr>
          <w:rFonts w:cs="Arial"/>
        </w:rPr>
      </w:pPr>
    </w:p>
    <w:p w14:paraId="0893E2C1" w14:textId="78DE1D9C" w:rsidR="00E60932" w:rsidRPr="000408D6" w:rsidRDefault="00E60932" w:rsidP="00E60932">
      <w:pPr>
        <w:rPr>
          <w:rFonts w:cs="Arial"/>
        </w:rPr>
      </w:pPr>
      <w:r w:rsidRPr="000408D6">
        <w:rPr>
          <w:rFonts w:cs="Arial"/>
        </w:rPr>
        <w:t xml:space="preserve">Fair Housing </w:t>
      </w:r>
      <w:r w:rsidR="00E015F7">
        <w:rPr>
          <w:rFonts w:cs="Arial"/>
        </w:rPr>
        <w:t>Activities</w:t>
      </w:r>
      <w:r w:rsidR="00E015F7" w:rsidRPr="000408D6">
        <w:rPr>
          <w:rFonts w:cs="Arial"/>
        </w:rPr>
        <w:t xml:space="preserve"> </w:t>
      </w:r>
      <w:r w:rsidRPr="000408D6">
        <w:rPr>
          <w:rFonts w:cs="Arial"/>
        </w:rPr>
        <w:t>is an eligible CDBG Public Service activity provided it meets a Low and Moderate Income (LMI) National Objective.</w:t>
      </w:r>
      <w:r w:rsidR="00913F31">
        <w:rPr>
          <w:rFonts w:cs="Arial"/>
        </w:rPr>
        <w:t xml:space="preserve"> </w:t>
      </w:r>
      <w:r w:rsidRPr="000408D6">
        <w:rPr>
          <w:rFonts w:cs="Arial"/>
        </w:rPr>
        <w:t xml:space="preserve">The LMI National Objective requires that the activity </w:t>
      </w:r>
      <w:r w:rsidR="00614D48" w:rsidRPr="000408D6">
        <w:rPr>
          <w:rFonts w:cs="Arial"/>
        </w:rPr>
        <w:t>benefits</w:t>
      </w:r>
      <w:r w:rsidRPr="000408D6">
        <w:rPr>
          <w:rFonts w:cs="Arial"/>
        </w:rPr>
        <w:t xml:space="preserve"> a low</w:t>
      </w:r>
      <w:r w:rsidR="00E015F7">
        <w:rPr>
          <w:rFonts w:cs="Arial"/>
        </w:rPr>
        <w:t>- and moderate-</w:t>
      </w:r>
      <w:r w:rsidRPr="000408D6">
        <w:rPr>
          <w:rFonts w:cs="Arial"/>
        </w:rPr>
        <w:t xml:space="preserve"> income person or household. A low</w:t>
      </w:r>
      <w:r w:rsidR="00E015F7">
        <w:rPr>
          <w:rFonts w:cs="Arial"/>
        </w:rPr>
        <w:t xml:space="preserve">- and moderate-income </w:t>
      </w:r>
      <w:r w:rsidRPr="000408D6">
        <w:rPr>
          <w:rFonts w:cs="Arial"/>
        </w:rPr>
        <w:t>person or household is one having an income equal to or less than</w:t>
      </w:r>
      <w:r w:rsidR="00E015F7">
        <w:rPr>
          <w:rFonts w:cs="Arial"/>
        </w:rPr>
        <w:t xml:space="preserve"> 80</w:t>
      </w:r>
      <w:r w:rsidRPr="000408D6">
        <w:rPr>
          <w:rFonts w:cs="Arial"/>
        </w:rPr>
        <w:t xml:space="preserve"> </w:t>
      </w:r>
      <w:r w:rsidR="001B23AF">
        <w:rPr>
          <w:rFonts w:cs="Arial"/>
        </w:rPr>
        <w:t>percent</w:t>
      </w:r>
      <w:r w:rsidR="00614D48">
        <w:rPr>
          <w:rFonts w:cs="Arial"/>
        </w:rPr>
        <w:t xml:space="preserve"> </w:t>
      </w:r>
      <w:r w:rsidRPr="000408D6">
        <w:rPr>
          <w:rFonts w:cs="Arial"/>
        </w:rPr>
        <w:t>of the Fresno Area Median Income (AMI), as established by HUD. Income levels are provided in a later section of this Information Guide.</w:t>
      </w:r>
    </w:p>
    <w:p w14:paraId="2EF1B43B" w14:textId="44F6CFB1" w:rsidR="00E60932" w:rsidRPr="000408D6" w:rsidRDefault="00E015F7" w:rsidP="00E60932">
      <w:pPr>
        <w:rPr>
          <w:rFonts w:cs="Arial"/>
        </w:rPr>
      </w:pPr>
      <w:r>
        <w:rPr>
          <w:rFonts w:cs="Arial"/>
        </w:rPr>
        <w:t>To meet</w:t>
      </w:r>
      <w:r w:rsidR="00E60932" w:rsidRPr="00CB36B6">
        <w:rPr>
          <w:rFonts w:cs="Arial"/>
        </w:rPr>
        <w:t xml:space="preserve"> the LMI National Objective</w:t>
      </w:r>
      <w:r>
        <w:rPr>
          <w:rFonts w:cs="Arial"/>
        </w:rPr>
        <w:t xml:space="preserve">, activities must be Limited Clientele Activities (LMC). </w:t>
      </w:r>
      <w:r w:rsidR="00E60932" w:rsidRPr="000408D6">
        <w:rPr>
          <w:rFonts w:cs="Arial"/>
        </w:rPr>
        <w:t xml:space="preserve"> To qualify as a</w:t>
      </w:r>
      <w:r>
        <w:rPr>
          <w:rFonts w:cs="Arial"/>
        </w:rPr>
        <w:t xml:space="preserve">n LMC </w:t>
      </w:r>
      <w:r w:rsidR="00E60932" w:rsidRPr="000408D6">
        <w:rPr>
          <w:rFonts w:cs="Arial"/>
        </w:rPr>
        <w:t xml:space="preserve">activity, there must be documentation that the service or project directly benefits a low-income clientele or certain presumably low-income clientele. HUD presumes certain groups meet the lower income criteria. HUD has defined these groups as: abused children, battered spouses, elderly </w:t>
      </w:r>
      <w:proofErr w:type="gramStart"/>
      <w:r w:rsidR="00E60932" w:rsidRPr="000408D6">
        <w:rPr>
          <w:rFonts w:cs="Arial"/>
        </w:rPr>
        <w:t>persons</w:t>
      </w:r>
      <w:proofErr w:type="gramEnd"/>
      <w:r w:rsidR="00E60932" w:rsidRPr="000408D6">
        <w:rPr>
          <w:rFonts w:cs="Arial"/>
        </w:rPr>
        <w:t xml:space="preserve">, adults with </w:t>
      </w:r>
      <w:r w:rsidR="009952B4" w:rsidRPr="000408D6">
        <w:rPr>
          <w:rFonts w:cs="Arial"/>
        </w:rPr>
        <w:t>severe</w:t>
      </w:r>
      <w:r w:rsidR="00E60932" w:rsidRPr="000408D6">
        <w:rPr>
          <w:rFonts w:cs="Arial"/>
        </w:rPr>
        <w:t xml:space="preserve"> disabilities, homeless </w:t>
      </w:r>
      <w:proofErr w:type="gramStart"/>
      <w:r w:rsidR="00E60932" w:rsidRPr="000408D6">
        <w:rPr>
          <w:rFonts w:cs="Arial"/>
        </w:rPr>
        <w:t>persons</w:t>
      </w:r>
      <w:proofErr w:type="gramEnd"/>
      <w:r w:rsidR="00E60932" w:rsidRPr="000408D6">
        <w:rPr>
          <w:rFonts w:cs="Arial"/>
        </w:rPr>
        <w:t xml:space="preserve">, illiterate adults, </w:t>
      </w:r>
      <w:proofErr w:type="gramStart"/>
      <w:r w:rsidR="00E60932" w:rsidRPr="000408D6">
        <w:rPr>
          <w:rFonts w:cs="Arial"/>
        </w:rPr>
        <w:t>persons</w:t>
      </w:r>
      <w:proofErr w:type="gramEnd"/>
      <w:r w:rsidR="00E60932" w:rsidRPr="000408D6">
        <w:rPr>
          <w:rFonts w:cs="Arial"/>
        </w:rPr>
        <w:t xml:space="preserve"> living with AIDS, and migrant workers.</w:t>
      </w:r>
    </w:p>
    <w:p w14:paraId="02007E61" w14:textId="62D057CB" w:rsidR="006D0906" w:rsidRPr="000408D6" w:rsidRDefault="00E60932" w:rsidP="00BF32DD">
      <w:pPr>
        <w:rPr>
          <w:rFonts w:cs="Arial"/>
        </w:rPr>
      </w:pPr>
      <w:r w:rsidRPr="000408D6">
        <w:rPr>
          <w:rFonts w:cs="Arial"/>
          <w:b/>
          <w:u w:val="single"/>
        </w:rPr>
        <w:t>Ineligible Activities</w:t>
      </w:r>
      <w:r w:rsidR="004544EC">
        <w:rPr>
          <w:rFonts w:cs="Arial"/>
        </w:rPr>
        <w:br/>
      </w:r>
      <w:r w:rsidRPr="000408D6">
        <w:rPr>
          <w:rFonts w:cs="Arial"/>
        </w:rPr>
        <w:t xml:space="preserve">For the purposes of this NOFA, only the above CDBG eligible Fair Housing activities are eligible.  </w:t>
      </w:r>
    </w:p>
    <w:p w14:paraId="797E8342" w14:textId="5794E9EC" w:rsidR="006D0906" w:rsidRPr="000408D6" w:rsidRDefault="006D0906" w:rsidP="00E60932">
      <w:pPr>
        <w:spacing w:after="0"/>
        <w:rPr>
          <w:rFonts w:cs="Arial"/>
        </w:rPr>
      </w:pPr>
    </w:p>
    <w:p w14:paraId="06B2AC23" w14:textId="17EDECF5" w:rsidR="00EC07A2" w:rsidRPr="000408D6" w:rsidRDefault="007A7305" w:rsidP="007F4149">
      <w:pPr>
        <w:tabs>
          <w:tab w:val="left" w:pos="5064"/>
        </w:tabs>
        <w:rPr>
          <w:rFonts w:cs="Arial"/>
          <w:b/>
          <w:u w:val="single"/>
        </w:rPr>
      </w:pPr>
      <w:r w:rsidRPr="000408D6">
        <w:rPr>
          <w:rFonts w:cs="Arial"/>
          <w:b/>
          <w:u w:val="single"/>
        </w:rPr>
        <w:t>Maximum Income Levels Per Household</w:t>
      </w:r>
    </w:p>
    <w:tbl>
      <w:tblPr>
        <w:tblStyle w:val="TableGrid"/>
        <w:tblpPr w:leftFromText="180" w:rightFromText="180" w:vertAnchor="text" w:tblpXSpec="center" w:tblpY="1"/>
        <w:tblOverlap w:val="never"/>
        <w:tblW w:w="11801" w:type="dxa"/>
        <w:tblLook w:val="04A0" w:firstRow="1" w:lastRow="0" w:firstColumn="1" w:lastColumn="0" w:noHBand="0" w:noVBand="1"/>
      </w:tblPr>
      <w:tblGrid>
        <w:gridCol w:w="1456"/>
        <w:gridCol w:w="1456"/>
        <w:gridCol w:w="1084"/>
        <w:gridCol w:w="1084"/>
        <w:gridCol w:w="1084"/>
        <w:gridCol w:w="1084"/>
        <w:gridCol w:w="1084"/>
        <w:gridCol w:w="1084"/>
        <w:gridCol w:w="1084"/>
        <w:gridCol w:w="1301"/>
      </w:tblGrid>
      <w:tr w:rsidR="001B08B1" w:rsidRPr="000408D6" w14:paraId="563656FB" w14:textId="77777777" w:rsidTr="001B08B1">
        <w:trPr>
          <w:trHeight w:val="432"/>
        </w:trPr>
        <w:tc>
          <w:tcPr>
            <w:tcW w:w="1456" w:type="dxa"/>
            <w:vMerge w:val="restart"/>
            <w:shd w:val="clear" w:color="auto" w:fill="D9D9D9" w:themeFill="background1" w:themeFillShade="D9"/>
          </w:tcPr>
          <w:p w14:paraId="5BE60EA1" w14:textId="5F90C998" w:rsidR="001B08B1" w:rsidRPr="000408D6" w:rsidRDefault="001B08B1" w:rsidP="001B08B1">
            <w:pPr>
              <w:spacing w:after="0" w:line="259" w:lineRule="auto"/>
              <w:rPr>
                <w:rFonts w:cs="Arial"/>
                <w:b/>
              </w:rPr>
            </w:pPr>
            <w:r>
              <w:rPr>
                <w:rFonts w:cs="Arial"/>
                <w:b/>
              </w:rPr>
              <w:t xml:space="preserve">FY 2025 Income </w:t>
            </w:r>
          </w:p>
        </w:tc>
        <w:tc>
          <w:tcPr>
            <w:tcW w:w="1456" w:type="dxa"/>
            <w:vMerge w:val="restart"/>
            <w:shd w:val="clear" w:color="auto" w:fill="D9D9D9" w:themeFill="background1" w:themeFillShade="D9"/>
            <w:vAlign w:val="center"/>
          </w:tcPr>
          <w:p w14:paraId="410E1831" w14:textId="2AC32F0F" w:rsidR="001B08B1" w:rsidRPr="000408D6" w:rsidRDefault="001B08B1" w:rsidP="001B08B1">
            <w:pPr>
              <w:spacing w:after="0" w:line="259" w:lineRule="auto"/>
              <w:jc w:val="center"/>
              <w:rPr>
                <w:rFonts w:cs="Arial"/>
                <w:b/>
              </w:rPr>
            </w:pPr>
            <w:r>
              <w:rPr>
                <w:rFonts w:cs="Arial"/>
                <w:b/>
              </w:rPr>
              <w:t>Limit %</w:t>
            </w:r>
          </w:p>
        </w:tc>
        <w:tc>
          <w:tcPr>
            <w:tcW w:w="8889" w:type="dxa"/>
            <w:gridSpan w:val="8"/>
            <w:shd w:val="clear" w:color="auto" w:fill="D9D9D9" w:themeFill="background1" w:themeFillShade="D9"/>
            <w:vAlign w:val="center"/>
          </w:tcPr>
          <w:p w14:paraId="54C2F4CE" w14:textId="77777777" w:rsidR="001B08B1" w:rsidRPr="000408D6" w:rsidRDefault="001B08B1" w:rsidP="001B08B1">
            <w:pPr>
              <w:spacing w:after="0" w:line="259" w:lineRule="auto"/>
              <w:jc w:val="center"/>
              <w:rPr>
                <w:rFonts w:cs="Arial"/>
                <w:b/>
              </w:rPr>
            </w:pPr>
            <w:r w:rsidRPr="000408D6">
              <w:rPr>
                <w:rFonts w:cs="Arial"/>
                <w:b/>
              </w:rPr>
              <w:t>Household Size</w:t>
            </w:r>
          </w:p>
        </w:tc>
      </w:tr>
      <w:tr w:rsidR="001B08B1" w:rsidRPr="000408D6" w14:paraId="65E92C50" w14:textId="77777777" w:rsidTr="001B08B1">
        <w:trPr>
          <w:trHeight w:val="432"/>
        </w:trPr>
        <w:tc>
          <w:tcPr>
            <w:tcW w:w="1456" w:type="dxa"/>
            <w:vMerge/>
            <w:shd w:val="clear" w:color="auto" w:fill="D9D9D9" w:themeFill="background1" w:themeFillShade="D9"/>
          </w:tcPr>
          <w:p w14:paraId="6A10905A" w14:textId="77777777" w:rsidR="001B08B1" w:rsidRPr="000408D6" w:rsidRDefault="001B08B1" w:rsidP="001B08B1">
            <w:pPr>
              <w:spacing w:after="0" w:line="259" w:lineRule="auto"/>
              <w:jc w:val="center"/>
              <w:rPr>
                <w:rFonts w:cs="Arial"/>
                <w:b/>
              </w:rPr>
            </w:pPr>
          </w:p>
        </w:tc>
        <w:tc>
          <w:tcPr>
            <w:tcW w:w="1456" w:type="dxa"/>
            <w:vMerge/>
            <w:shd w:val="clear" w:color="auto" w:fill="D9D9D9" w:themeFill="background1" w:themeFillShade="D9"/>
            <w:vAlign w:val="center"/>
          </w:tcPr>
          <w:p w14:paraId="7DB3B458" w14:textId="23CC2768" w:rsidR="001B08B1" w:rsidRPr="000408D6" w:rsidRDefault="001B08B1" w:rsidP="001B08B1">
            <w:pPr>
              <w:spacing w:after="0" w:line="259" w:lineRule="auto"/>
              <w:jc w:val="center"/>
              <w:rPr>
                <w:rFonts w:cs="Arial"/>
                <w:b/>
              </w:rPr>
            </w:pPr>
          </w:p>
        </w:tc>
        <w:tc>
          <w:tcPr>
            <w:tcW w:w="1084" w:type="dxa"/>
            <w:shd w:val="clear" w:color="auto" w:fill="D9D9D9" w:themeFill="background1" w:themeFillShade="D9"/>
            <w:vAlign w:val="center"/>
          </w:tcPr>
          <w:p w14:paraId="721A9A03" w14:textId="77777777" w:rsidR="001B08B1" w:rsidRPr="000408D6" w:rsidRDefault="001B08B1" w:rsidP="001B08B1">
            <w:pPr>
              <w:spacing w:after="0" w:line="259" w:lineRule="auto"/>
              <w:jc w:val="center"/>
              <w:rPr>
                <w:rFonts w:cs="Arial"/>
                <w:b/>
              </w:rPr>
            </w:pPr>
            <w:r w:rsidRPr="000408D6">
              <w:rPr>
                <w:rFonts w:cs="Arial"/>
                <w:b/>
              </w:rPr>
              <w:t>1</w:t>
            </w:r>
          </w:p>
        </w:tc>
        <w:tc>
          <w:tcPr>
            <w:tcW w:w="1084" w:type="dxa"/>
            <w:shd w:val="clear" w:color="auto" w:fill="D9D9D9" w:themeFill="background1" w:themeFillShade="D9"/>
            <w:vAlign w:val="center"/>
          </w:tcPr>
          <w:p w14:paraId="019363A6" w14:textId="77777777" w:rsidR="001B08B1" w:rsidRPr="000408D6" w:rsidRDefault="001B08B1" w:rsidP="001B08B1">
            <w:pPr>
              <w:spacing w:after="0" w:line="259" w:lineRule="auto"/>
              <w:jc w:val="center"/>
              <w:rPr>
                <w:rFonts w:cs="Arial"/>
                <w:b/>
              </w:rPr>
            </w:pPr>
            <w:r w:rsidRPr="000408D6">
              <w:rPr>
                <w:rFonts w:cs="Arial"/>
                <w:b/>
              </w:rPr>
              <w:t>2</w:t>
            </w:r>
          </w:p>
        </w:tc>
        <w:tc>
          <w:tcPr>
            <w:tcW w:w="1084" w:type="dxa"/>
            <w:shd w:val="clear" w:color="auto" w:fill="D9D9D9" w:themeFill="background1" w:themeFillShade="D9"/>
            <w:vAlign w:val="center"/>
          </w:tcPr>
          <w:p w14:paraId="0E6282D7" w14:textId="77777777" w:rsidR="001B08B1" w:rsidRPr="000408D6" w:rsidRDefault="001B08B1" w:rsidP="001B08B1">
            <w:pPr>
              <w:spacing w:after="0" w:line="259" w:lineRule="auto"/>
              <w:jc w:val="center"/>
              <w:rPr>
                <w:rFonts w:cs="Arial"/>
                <w:b/>
              </w:rPr>
            </w:pPr>
            <w:r w:rsidRPr="000408D6">
              <w:rPr>
                <w:rFonts w:cs="Arial"/>
                <w:b/>
              </w:rPr>
              <w:t>3</w:t>
            </w:r>
          </w:p>
        </w:tc>
        <w:tc>
          <w:tcPr>
            <w:tcW w:w="1084" w:type="dxa"/>
            <w:shd w:val="clear" w:color="auto" w:fill="D9D9D9" w:themeFill="background1" w:themeFillShade="D9"/>
          </w:tcPr>
          <w:p w14:paraId="74423A09" w14:textId="77777777" w:rsidR="001B08B1" w:rsidRPr="000408D6" w:rsidRDefault="001B08B1" w:rsidP="001B08B1">
            <w:pPr>
              <w:spacing w:after="0" w:line="259" w:lineRule="auto"/>
              <w:jc w:val="center"/>
              <w:rPr>
                <w:rFonts w:cs="Arial"/>
                <w:b/>
              </w:rPr>
            </w:pPr>
            <w:r w:rsidRPr="000408D6">
              <w:rPr>
                <w:rFonts w:cs="Arial"/>
                <w:b/>
              </w:rPr>
              <w:t>4</w:t>
            </w:r>
          </w:p>
        </w:tc>
        <w:tc>
          <w:tcPr>
            <w:tcW w:w="1084" w:type="dxa"/>
            <w:shd w:val="clear" w:color="auto" w:fill="D9D9D9" w:themeFill="background1" w:themeFillShade="D9"/>
          </w:tcPr>
          <w:p w14:paraId="2BB95EFF" w14:textId="77777777" w:rsidR="001B08B1" w:rsidRPr="000408D6" w:rsidRDefault="001B08B1" w:rsidP="001B08B1">
            <w:pPr>
              <w:spacing w:after="0" w:line="259" w:lineRule="auto"/>
              <w:jc w:val="center"/>
              <w:rPr>
                <w:rFonts w:cs="Arial"/>
                <w:b/>
              </w:rPr>
            </w:pPr>
            <w:r w:rsidRPr="000408D6">
              <w:rPr>
                <w:rFonts w:cs="Arial"/>
                <w:b/>
              </w:rPr>
              <w:t>5</w:t>
            </w:r>
          </w:p>
        </w:tc>
        <w:tc>
          <w:tcPr>
            <w:tcW w:w="1084" w:type="dxa"/>
            <w:shd w:val="clear" w:color="auto" w:fill="D9D9D9" w:themeFill="background1" w:themeFillShade="D9"/>
          </w:tcPr>
          <w:p w14:paraId="017E3847" w14:textId="77777777" w:rsidR="001B08B1" w:rsidRPr="000408D6" w:rsidRDefault="001B08B1" w:rsidP="001B08B1">
            <w:pPr>
              <w:spacing w:after="0" w:line="259" w:lineRule="auto"/>
              <w:jc w:val="center"/>
              <w:rPr>
                <w:rFonts w:cs="Arial"/>
                <w:b/>
              </w:rPr>
            </w:pPr>
            <w:r w:rsidRPr="000408D6">
              <w:rPr>
                <w:rFonts w:cs="Arial"/>
                <w:b/>
              </w:rPr>
              <w:t>6</w:t>
            </w:r>
          </w:p>
        </w:tc>
        <w:tc>
          <w:tcPr>
            <w:tcW w:w="1084" w:type="dxa"/>
            <w:shd w:val="clear" w:color="auto" w:fill="D9D9D9" w:themeFill="background1" w:themeFillShade="D9"/>
          </w:tcPr>
          <w:p w14:paraId="6241B4E3" w14:textId="77777777" w:rsidR="001B08B1" w:rsidRPr="000408D6" w:rsidRDefault="001B08B1" w:rsidP="001B08B1">
            <w:pPr>
              <w:spacing w:after="0" w:line="259" w:lineRule="auto"/>
              <w:jc w:val="center"/>
              <w:rPr>
                <w:rFonts w:cs="Arial"/>
                <w:b/>
              </w:rPr>
            </w:pPr>
            <w:r w:rsidRPr="000408D6">
              <w:rPr>
                <w:rFonts w:cs="Arial"/>
                <w:b/>
              </w:rPr>
              <w:t>7</w:t>
            </w:r>
          </w:p>
        </w:tc>
        <w:tc>
          <w:tcPr>
            <w:tcW w:w="1301" w:type="dxa"/>
            <w:shd w:val="clear" w:color="auto" w:fill="D9D9D9" w:themeFill="background1" w:themeFillShade="D9"/>
          </w:tcPr>
          <w:p w14:paraId="0DC5520B" w14:textId="77777777" w:rsidR="001B08B1" w:rsidRPr="000408D6" w:rsidRDefault="001B08B1" w:rsidP="001B08B1">
            <w:pPr>
              <w:spacing w:after="0" w:line="259" w:lineRule="auto"/>
              <w:jc w:val="center"/>
              <w:rPr>
                <w:rFonts w:cs="Arial"/>
                <w:b/>
              </w:rPr>
            </w:pPr>
            <w:r w:rsidRPr="000408D6">
              <w:rPr>
                <w:rFonts w:cs="Arial"/>
                <w:b/>
              </w:rPr>
              <w:t>8</w:t>
            </w:r>
          </w:p>
        </w:tc>
      </w:tr>
      <w:tr w:rsidR="001B08B1" w:rsidRPr="000408D6" w14:paraId="1671B931" w14:textId="77777777" w:rsidTr="001B08B1">
        <w:trPr>
          <w:trHeight w:val="432"/>
        </w:trPr>
        <w:tc>
          <w:tcPr>
            <w:tcW w:w="1456" w:type="dxa"/>
            <w:vMerge w:val="restart"/>
          </w:tcPr>
          <w:p w14:paraId="52F7ABB1" w14:textId="77777777" w:rsidR="001B08B1" w:rsidRPr="000408D6" w:rsidRDefault="001B08B1" w:rsidP="001B08B1">
            <w:pPr>
              <w:spacing w:after="0" w:line="259" w:lineRule="auto"/>
              <w:jc w:val="center"/>
              <w:rPr>
                <w:rFonts w:cs="Arial"/>
              </w:rPr>
            </w:pPr>
          </w:p>
        </w:tc>
        <w:tc>
          <w:tcPr>
            <w:tcW w:w="1456" w:type="dxa"/>
            <w:vAlign w:val="center"/>
          </w:tcPr>
          <w:p w14:paraId="3D55DB5E" w14:textId="187EC927" w:rsidR="001B08B1" w:rsidRPr="000408D6" w:rsidRDefault="001B08B1" w:rsidP="001B08B1">
            <w:pPr>
              <w:spacing w:after="0" w:line="259" w:lineRule="auto"/>
              <w:jc w:val="center"/>
              <w:rPr>
                <w:rFonts w:cs="Arial"/>
              </w:rPr>
            </w:pPr>
            <w:r w:rsidRPr="000408D6">
              <w:rPr>
                <w:rFonts w:cs="Arial"/>
              </w:rPr>
              <w:t>30% AMI</w:t>
            </w:r>
          </w:p>
        </w:tc>
        <w:tc>
          <w:tcPr>
            <w:tcW w:w="1084" w:type="dxa"/>
            <w:vAlign w:val="center"/>
          </w:tcPr>
          <w:p w14:paraId="21CD8AFA" w14:textId="77777777" w:rsidR="001B08B1" w:rsidRPr="000408D6" w:rsidRDefault="001B08B1" w:rsidP="001B08B1">
            <w:pPr>
              <w:spacing w:after="0" w:line="259" w:lineRule="auto"/>
              <w:jc w:val="center"/>
              <w:rPr>
                <w:rFonts w:cs="Arial"/>
              </w:rPr>
            </w:pPr>
            <w:r w:rsidRPr="000408D6">
              <w:rPr>
                <w:rFonts w:cs="Arial"/>
              </w:rPr>
              <w:t>$19,750</w:t>
            </w:r>
          </w:p>
        </w:tc>
        <w:tc>
          <w:tcPr>
            <w:tcW w:w="1084" w:type="dxa"/>
            <w:vAlign w:val="center"/>
          </w:tcPr>
          <w:p w14:paraId="65596CE3" w14:textId="77777777" w:rsidR="001B08B1" w:rsidRPr="000408D6" w:rsidRDefault="001B08B1" w:rsidP="001B08B1">
            <w:pPr>
              <w:spacing w:after="0" w:line="259" w:lineRule="auto"/>
              <w:jc w:val="center"/>
              <w:rPr>
                <w:rFonts w:cs="Arial"/>
              </w:rPr>
            </w:pPr>
            <w:r w:rsidRPr="000408D6">
              <w:rPr>
                <w:rFonts w:cs="Arial"/>
              </w:rPr>
              <w:t>$22,550</w:t>
            </w:r>
          </w:p>
        </w:tc>
        <w:tc>
          <w:tcPr>
            <w:tcW w:w="1084" w:type="dxa"/>
            <w:vAlign w:val="center"/>
          </w:tcPr>
          <w:p w14:paraId="32B33907" w14:textId="77777777" w:rsidR="001B08B1" w:rsidRPr="000408D6" w:rsidRDefault="001B08B1" w:rsidP="001B08B1">
            <w:pPr>
              <w:spacing w:after="0" w:line="259" w:lineRule="auto"/>
              <w:jc w:val="center"/>
              <w:rPr>
                <w:rFonts w:cs="Arial"/>
              </w:rPr>
            </w:pPr>
            <w:r w:rsidRPr="000408D6">
              <w:rPr>
                <w:rFonts w:cs="Arial"/>
              </w:rPr>
              <w:t>$25,350</w:t>
            </w:r>
          </w:p>
        </w:tc>
        <w:tc>
          <w:tcPr>
            <w:tcW w:w="1084" w:type="dxa"/>
            <w:vAlign w:val="center"/>
          </w:tcPr>
          <w:p w14:paraId="209F7EFD" w14:textId="77777777" w:rsidR="001B08B1" w:rsidRPr="000408D6" w:rsidRDefault="001B08B1" w:rsidP="001B08B1">
            <w:pPr>
              <w:spacing w:after="0" w:line="259" w:lineRule="auto"/>
              <w:jc w:val="center"/>
              <w:rPr>
                <w:rFonts w:cs="Arial"/>
              </w:rPr>
            </w:pPr>
            <w:r w:rsidRPr="000408D6">
              <w:rPr>
                <w:rFonts w:cs="Arial"/>
              </w:rPr>
              <w:t>$28,150</w:t>
            </w:r>
          </w:p>
        </w:tc>
        <w:tc>
          <w:tcPr>
            <w:tcW w:w="1084" w:type="dxa"/>
            <w:vAlign w:val="center"/>
          </w:tcPr>
          <w:p w14:paraId="21D7614A" w14:textId="77777777" w:rsidR="001B08B1" w:rsidRPr="000408D6" w:rsidRDefault="001B08B1" w:rsidP="001B08B1">
            <w:pPr>
              <w:spacing w:after="0" w:line="259" w:lineRule="auto"/>
              <w:jc w:val="center"/>
              <w:rPr>
                <w:rFonts w:cs="Arial"/>
              </w:rPr>
            </w:pPr>
            <w:r w:rsidRPr="000408D6">
              <w:rPr>
                <w:rFonts w:cs="Arial"/>
              </w:rPr>
              <w:t>$30,450</w:t>
            </w:r>
          </w:p>
        </w:tc>
        <w:tc>
          <w:tcPr>
            <w:tcW w:w="1084" w:type="dxa"/>
            <w:vAlign w:val="center"/>
          </w:tcPr>
          <w:p w14:paraId="5EBC2242" w14:textId="77777777" w:rsidR="001B08B1" w:rsidRPr="000408D6" w:rsidRDefault="001B08B1" w:rsidP="001B08B1">
            <w:pPr>
              <w:spacing w:after="0" w:line="259" w:lineRule="auto"/>
              <w:jc w:val="center"/>
              <w:rPr>
                <w:rFonts w:cs="Arial"/>
              </w:rPr>
            </w:pPr>
            <w:r w:rsidRPr="000408D6">
              <w:rPr>
                <w:rFonts w:cs="Arial"/>
              </w:rPr>
              <w:t>$32,700</w:t>
            </w:r>
          </w:p>
        </w:tc>
        <w:tc>
          <w:tcPr>
            <w:tcW w:w="1084" w:type="dxa"/>
            <w:vAlign w:val="center"/>
          </w:tcPr>
          <w:p w14:paraId="727B17AA" w14:textId="77777777" w:rsidR="001B08B1" w:rsidRPr="000408D6" w:rsidRDefault="001B08B1" w:rsidP="001B08B1">
            <w:pPr>
              <w:spacing w:after="0" w:line="259" w:lineRule="auto"/>
              <w:jc w:val="center"/>
              <w:rPr>
                <w:rFonts w:cs="Arial"/>
              </w:rPr>
            </w:pPr>
            <w:r w:rsidRPr="000408D6">
              <w:rPr>
                <w:rFonts w:cs="Arial"/>
              </w:rPr>
              <w:t>$34,950</w:t>
            </w:r>
          </w:p>
        </w:tc>
        <w:tc>
          <w:tcPr>
            <w:tcW w:w="1301" w:type="dxa"/>
            <w:vAlign w:val="center"/>
          </w:tcPr>
          <w:p w14:paraId="7747BEDA" w14:textId="77777777" w:rsidR="001B08B1" w:rsidRPr="000408D6" w:rsidRDefault="001B08B1" w:rsidP="001B08B1">
            <w:pPr>
              <w:spacing w:after="0" w:line="259" w:lineRule="auto"/>
              <w:jc w:val="center"/>
              <w:rPr>
                <w:rFonts w:cs="Arial"/>
              </w:rPr>
            </w:pPr>
            <w:r w:rsidRPr="000408D6">
              <w:rPr>
                <w:rFonts w:cs="Arial"/>
              </w:rPr>
              <w:t>$37,200</w:t>
            </w:r>
          </w:p>
        </w:tc>
      </w:tr>
      <w:tr w:rsidR="001B08B1" w:rsidRPr="000408D6" w14:paraId="3A373EAE" w14:textId="77777777" w:rsidTr="001B08B1">
        <w:trPr>
          <w:trHeight w:val="432"/>
        </w:trPr>
        <w:tc>
          <w:tcPr>
            <w:tcW w:w="1456" w:type="dxa"/>
            <w:vMerge/>
          </w:tcPr>
          <w:p w14:paraId="656541F4" w14:textId="77777777" w:rsidR="001B08B1" w:rsidRPr="000408D6" w:rsidRDefault="001B08B1" w:rsidP="001B08B1">
            <w:pPr>
              <w:spacing w:after="0" w:line="259" w:lineRule="auto"/>
              <w:jc w:val="center"/>
              <w:rPr>
                <w:rFonts w:cs="Arial"/>
              </w:rPr>
            </w:pPr>
          </w:p>
        </w:tc>
        <w:tc>
          <w:tcPr>
            <w:tcW w:w="1456" w:type="dxa"/>
            <w:vAlign w:val="center"/>
          </w:tcPr>
          <w:p w14:paraId="23DA5A5B" w14:textId="02828CEE" w:rsidR="001B08B1" w:rsidRPr="000408D6" w:rsidRDefault="001B08B1" w:rsidP="001B08B1">
            <w:pPr>
              <w:spacing w:after="0" w:line="259" w:lineRule="auto"/>
              <w:jc w:val="center"/>
              <w:rPr>
                <w:rFonts w:cs="Arial"/>
              </w:rPr>
            </w:pPr>
            <w:r w:rsidRPr="000408D6">
              <w:rPr>
                <w:rFonts w:cs="Arial"/>
              </w:rPr>
              <w:t>50% AMI</w:t>
            </w:r>
          </w:p>
        </w:tc>
        <w:tc>
          <w:tcPr>
            <w:tcW w:w="1084" w:type="dxa"/>
            <w:vAlign w:val="center"/>
          </w:tcPr>
          <w:p w14:paraId="0AC90877" w14:textId="77777777" w:rsidR="001B08B1" w:rsidRPr="000408D6" w:rsidRDefault="001B08B1" w:rsidP="001B08B1">
            <w:pPr>
              <w:spacing w:after="0" w:line="259" w:lineRule="auto"/>
              <w:jc w:val="center"/>
              <w:rPr>
                <w:rFonts w:cs="Arial"/>
              </w:rPr>
            </w:pPr>
            <w:r w:rsidRPr="000408D6">
              <w:rPr>
                <w:rFonts w:cs="Arial"/>
              </w:rPr>
              <w:t>$32,900</w:t>
            </w:r>
          </w:p>
        </w:tc>
        <w:tc>
          <w:tcPr>
            <w:tcW w:w="1084" w:type="dxa"/>
            <w:vAlign w:val="center"/>
          </w:tcPr>
          <w:p w14:paraId="5D566192" w14:textId="77777777" w:rsidR="001B08B1" w:rsidRPr="000408D6" w:rsidRDefault="001B08B1" w:rsidP="001B08B1">
            <w:pPr>
              <w:spacing w:after="0" w:line="259" w:lineRule="auto"/>
              <w:jc w:val="center"/>
              <w:rPr>
                <w:rFonts w:cs="Arial"/>
              </w:rPr>
            </w:pPr>
            <w:r w:rsidRPr="000408D6">
              <w:rPr>
                <w:rFonts w:cs="Arial"/>
              </w:rPr>
              <w:t>$37,600</w:t>
            </w:r>
          </w:p>
        </w:tc>
        <w:tc>
          <w:tcPr>
            <w:tcW w:w="1084" w:type="dxa"/>
            <w:vAlign w:val="center"/>
          </w:tcPr>
          <w:p w14:paraId="55E9FB8C" w14:textId="77777777" w:rsidR="001B08B1" w:rsidRPr="000408D6" w:rsidRDefault="001B08B1" w:rsidP="001B08B1">
            <w:pPr>
              <w:spacing w:after="0" w:line="259" w:lineRule="auto"/>
              <w:jc w:val="center"/>
              <w:rPr>
                <w:rFonts w:cs="Arial"/>
              </w:rPr>
            </w:pPr>
            <w:r w:rsidRPr="000408D6">
              <w:rPr>
                <w:rFonts w:cs="Arial"/>
              </w:rPr>
              <w:t>$42,300</w:t>
            </w:r>
          </w:p>
        </w:tc>
        <w:tc>
          <w:tcPr>
            <w:tcW w:w="1084" w:type="dxa"/>
            <w:vAlign w:val="center"/>
          </w:tcPr>
          <w:p w14:paraId="0C641E14" w14:textId="77777777" w:rsidR="001B08B1" w:rsidRPr="000408D6" w:rsidRDefault="001B08B1" w:rsidP="001B08B1">
            <w:pPr>
              <w:spacing w:after="0" w:line="259" w:lineRule="auto"/>
              <w:jc w:val="center"/>
              <w:rPr>
                <w:rFonts w:cs="Arial"/>
              </w:rPr>
            </w:pPr>
            <w:r w:rsidRPr="000408D6">
              <w:rPr>
                <w:rFonts w:cs="Arial"/>
              </w:rPr>
              <w:t>$46,950</w:t>
            </w:r>
          </w:p>
        </w:tc>
        <w:tc>
          <w:tcPr>
            <w:tcW w:w="1084" w:type="dxa"/>
            <w:vAlign w:val="center"/>
          </w:tcPr>
          <w:p w14:paraId="77E28E2C" w14:textId="77777777" w:rsidR="001B08B1" w:rsidRPr="000408D6" w:rsidRDefault="001B08B1" w:rsidP="001B08B1">
            <w:pPr>
              <w:spacing w:after="0" w:line="259" w:lineRule="auto"/>
              <w:jc w:val="center"/>
              <w:rPr>
                <w:rFonts w:cs="Arial"/>
              </w:rPr>
            </w:pPr>
            <w:r w:rsidRPr="000408D6">
              <w:rPr>
                <w:rFonts w:cs="Arial"/>
              </w:rPr>
              <w:t>$50,750</w:t>
            </w:r>
          </w:p>
        </w:tc>
        <w:tc>
          <w:tcPr>
            <w:tcW w:w="1084" w:type="dxa"/>
            <w:vAlign w:val="center"/>
          </w:tcPr>
          <w:p w14:paraId="497534EE" w14:textId="77777777" w:rsidR="001B08B1" w:rsidRPr="000408D6" w:rsidRDefault="001B08B1" w:rsidP="001B08B1">
            <w:pPr>
              <w:spacing w:after="0" w:line="259" w:lineRule="auto"/>
              <w:jc w:val="center"/>
              <w:rPr>
                <w:rFonts w:cs="Arial"/>
              </w:rPr>
            </w:pPr>
            <w:r w:rsidRPr="000408D6">
              <w:rPr>
                <w:rFonts w:cs="Arial"/>
              </w:rPr>
              <w:t>$54,500</w:t>
            </w:r>
          </w:p>
        </w:tc>
        <w:tc>
          <w:tcPr>
            <w:tcW w:w="1084" w:type="dxa"/>
            <w:vAlign w:val="center"/>
          </w:tcPr>
          <w:p w14:paraId="307C6D8C" w14:textId="7C900CBA" w:rsidR="001B08B1" w:rsidRPr="000408D6" w:rsidRDefault="001B08B1" w:rsidP="001B08B1">
            <w:pPr>
              <w:spacing w:after="0" w:line="259" w:lineRule="auto"/>
              <w:jc w:val="center"/>
              <w:rPr>
                <w:rFonts w:cs="Arial"/>
              </w:rPr>
            </w:pPr>
            <w:r w:rsidRPr="000408D6">
              <w:rPr>
                <w:rFonts w:cs="Arial"/>
              </w:rPr>
              <w:t>$58,</w:t>
            </w:r>
            <w:r w:rsidR="004544EC" w:rsidRPr="000408D6">
              <w:rPr>
                <w:rFonts w:cs="Arial"/>
              </w:rPr>
              <w:t>2</w:t>
            </w:r>
            <w:r w:rsidR="004544EC">
              <w:rPr>
                <w:rFonts w:cs="Arial"/>
              </w:rPr>
              <w:t>50</w:t>
            </w:r>
          </w:p>
        </w:tc>
        <w:tc>
          <w:tcPr>
            <w:tcW w:w="1301" w:type="dxa"/>
            <w:vAlign w:val="center"/>
          </w:tcPr>
          <w:p w14:paraId="30835A98" w14:textId="77777777" w:rsidR="001B08B1" w:rsidRPr="000408D6" w:rsidRDefault="001B08B1" w:rsidP="001B08B1">
            <w:pPr>
              <w:spacing w:after="0" w:line="259" w:lineRule="auto"/>
              <w:jc w:val="center"/>
              <w:rPr>
                <w:rFonts w:cs="Arial"/>
              </w:rPr>
            </w:pPr>
            <w:r w:rsidRPr="000408D6">
              <w:rPr>
                <w:rFonts w:cs="Arial"/>
              </w:rPr>
              <w:t>$62,000</w:t>
            </w:r>
          </w:p>
        </w:tc>
      </w:tr>
      <w:tr w:rsidR="001B08B1" w:rsidRPr="000408D6" w14:paraId="6AAC5444" w14:textId="77777777" w:rsidTr="001B08B1">
        <w:trPr>
          <w:trHeight w:val="432"/>
        </w:trPr>
        <w:tc>
          <w:tcPr>
            <w:tcW w:w="1456" w:type="dxa"/>
            <w:vMerge/>
          </w:tcPr>
          <w:p w14:paraId="2F93939E" w14:textId="77777777" w:rsidR="001B08B1" w:rsidRPr="000408D6" w:rsidRDefault="001B08B1" w:rsidP="001B08B1">
            <w:pPr>
              <w:spacing w:after="0" w:line="259" w:lineRule="auto"/>
              <w:jc w:val="center"/>
              <w:rPr>
                <w:rFonts w:cs="Arial"/>
              </w:rPr>
            </w:pPr>
          </w:p>
        </w:tc>
        <w:tc>
          <w:tcPr>
            <w:tcW w:w="1456" w:type="dxa"/>
            <w:vAlign w:val="center"/>
          </w:tcPr>
          <w:p w14:paraId="746C5B4B" w14:textId="78A01005" w:rsidR="001B08B1" w:rsidRPr="000408D6" w:rsidRDefault="001B08B1" w:rsidP="001B08B1">
            <w:pPr>
              <w:spacing w:after="0" w:line="259" w:lineRule="auto"/>
              <w:jc w:val="center"/>
              <w:rPr>
                <w:rFonts w:cs="Arial"/>
              </w:rPr>
            </w:pPr>
            <w:r w:rsidRPr="000408D6">
              <w:rPr>
                <w:rFonts w:cs="Arial"/>
              </w:rPr>
              <w:t>80% AMI</w:t>
            </w:r>
          </w:p>
        </w:tc>
        <w:tc>
          <w:tcPr>
            <w:tcW w:w="1084" w:type="dxa"/>
            <w:vAlign w:val="center"/>
          </w:tcPr>
          <w:p w14:paraId="7BF75463" w14:textId="7731947E" w:rsidR="001B08B1" w:rsidRPr="000408D6" w:rsidRDefault="001B08B1" w:rsidP="001B08B1">
            <w:pPr>
              <w:spacing w:after="0" w:line="259" w:lineRule="auto"/>
              <w:jc w:val="center"/>
              <w:rPr>
                <w:rFonts w:cs="Arial"/>
              </w:rPr>
            </w:pPr>
            <w:r w:rsidRPr="000408D6">
              <w:rPr>
                <w:rFonts w:cs="Arial"/>
              </w:rPr>
              <w:t>$</w:t>
            </w:r>
            <w:r w:rsidR="004544EC" w:rsidRPr="000408D6">
              <w:rPr>
                <w:rFonts w:cs="Arial"/>
              </w:rPr>
              <w:t>5</w:t>
            </w:r>
            <w:r w:rsidR="004544EC">
              <w:rPr>
                <w:rFonts w:cs="Arial"/>
              </w:rPr>
              <w:t>2</w:t>
            </w:r>
            <w:r w:rsidRPr="000408D6">
              <w:rPr>
                <w:rFonts w:cs="Arial"/>
              </w:rPr>
              <w:t>,600</w:t>
            </w:r>
          </w:p>
        </w:tc>
        <w:tc>
          <w:tcPr>
            <w:tcW w:w="1084" w:type="dxa"/>
            <w:vAlign w:val="center"/>
          </w:tcPr>
          <w:p w14:paraId="5A6D5BD0" w14:textId="77777777" w:rsidR="001B08B1" w:rsidRPr="000408D6" w:rsidRDefault="001B08B1" w:rsidP="001B08B1">
            <w:pPr>
              <w:spacing w:after="0" w:line="259" w:lineRule="auto"/>
              <w:jc w:val="center"/>
              <w:rPr>
                <w:rFonts w:cs="Arial"/>
              </w:rPr>
            </w:pPr>
            <w:r w:rsidRPr="000408D6">
              <w:rPr>
                <w:rFonts w:cs="Arial"/>
              </w:rPr>
              <w:t>$60,100</w:t>
            </w:r>
          </w:p>
        </w:tc>
        <w:tc>
          <w:tcPr>
            <w:tcW w:w="1084" w:type="dxa"/>
            <w:vAlign w:val="center"/>
          </w:tcPr>
          <w:p w14:paraId="30683286" w14:textId="77777777" w:rsidR="001B08B1" w:rsidRPr="000408D6" w:rsidRDefault="001B08B1" w:rsidP="001B08B1">
            <w:pPr>
              <w:spacing w:after="0" w:line="259" w:lineRule="auto"/>
              <w:jc w:val="center"/>
              <w:rPr>
                <w:rFonts w:cs="Arial"/>
              </w:rPr>
            </w:pPr>
            <w:r w:rsidRPr="000408D6">
              <w:rPr>
                <w:rFonts w:cs="Arial"/>
              </w:rPr>
              <w:t>$67,600</w:t>
            </w:r>
          </w:p>
        </w:tc>
        <w:tc>
          <w:tcPr>
            <w:tcW w:w="1084" w:type="dxa"/>
            <w:vAlign w:val="center"/>
          </w:tcPr>
          <w:p w14:paraId="2867111A" w14:textId="77777777" w:rsidR="001B08B1" w:rsidRPr="000408D6" w:rsidRDefault="001B08B1" w:rsidP="001B08B1">
            <w:pPr>
              <w:spacing w:after="0" w:line="259" w:lineRule="auto"/>
              <w:rPr>
                <w:rFonts w:cs="Arial"/>
              </w:rPr>
            </w:pPr>
            <w:r w:rsidRPr="000408D6">
              <w:rPr>
                <w:rFonts w:cs="Arial"/>
              </w:rPr>
              <w:t>$75,100</w:t>
            </w:r>
          </w:p>
        </w:tc>
        <w:tc>
          <w:tcPr>
            <w:tcW w:w="1084" w:type="dxa"/>
            <w:vAlign w:val="center"/>
          </w:tcPr>
          <w:p w14:paraId="1507E4CB" w14:textId="77777777" w:rsidR="001B08B1" w:rsidRPr="000408D6" w:rsidRDefault="001B08B1" w:rsidP="001B08B1">
            <w:pPr>
              <w:spacing w:after="0" w:line="259" w:lineRule="auto"/>
              <w:jc w:val="center"/>
              <w:rPr>
                <w:rFonts w:cs="Arial"/>
              </w:rPr>
            </w:pPr>
            <w:r w:rsidRPr="000408D6">
              <w:rPr>
                <w:rFonts w:cs="Arial"/>
              </w:rPr>
              <w:t>$81,150</w:t>
            </w:r>
          </w:p>
        </w:tc>
        <w:tc>
          <w:tcPr>
            <w:tcW w:w="1084" w:type="dxa"/>
            <w:vAlign w:val="center"/>
          </w:tcPr>
          <w:p w14:paraId="6AE10B1F" w14:textId="77777777" w:rsidR="001B08B1" w:rsidRPr="000408D6" w:rsidRDefault="001B08B1" w:rsidP="001B08B1">
            <w:pPr>
              <w:spacing w:after="0" w:line="259" w:lineRule="auto"/>
              <w:jc w:val="center"/>
              <w:rPr>
                <w:rFonts w:cs="Arial"/>
              </w:rPr>
            </w:pPr>
            <w:r w:rsidRPr="000408D6">
              <w:rPr>
                <w:rFonts w:cs="Arial"/>
              </w:rPr>
              <w:t>$87,150</w:t>
            </w:r>
          </w:p>
        </w:tc>
        <w:tc>
          <w:tcPr>
            <w:tcW w:w="1084" w:type="dxa"/>
            <w:vAlign w:val="center"/>
          </w:tcPr>
          <w:p w14:paraId="56749A1F" w14:textId="77777777" w:rsidR="001B08B1" w:rsidRPr="000408D6" w:rsidRDefault="001B08B1" w:rsidP="001B08B1">
            <w:pPr>
              <w:spacing w:after="0" w:line="259" w:lineRule="auto"/>
              <w:jc w:val="center"/>
              <w:rPr>
                <w:rFonts w:cs="Arial"/>
              </w:rPr>
            </w:pPr>
            <w:r w:rsidRPr="000408D6">
              <w:rPr>
                <w:rFonts w:cs="Arial"/>
              </w:rPr>
              <w:t>$93,150</w:t>
            </w:r>
          </w:p>
        </w:tc>
        <w:tc>
          <w:tcPr>
            <w:tcW w:w="1301" w:type="dxa"/>
            <w:vAlign w:val="center"/>
          </w:tcPr>
          <w:p w14:paraId="52498CD3" w14:textId="77777777" w:rsidR="001B08B1" w:rsidRPr="000408D6" w:rsidRDefault="001B08B1" w:rsidP="001B08B1">
            <w:pPr>
              <w:spacing w:after="0" w:line="259" w:lineRule="auto"/>
              <w:jc w:val="center"/>
              <w:rPr>
                <w:rFonts w:cs="Arial"/>
              </w:rPr>
            </w:pPr>
            <w:r w:rsidRPr="000408D6">
              <w:rPr>
                <w:rFonts w:cs="Arial"/>
              </w:rPr>
              <w:t>$99,150</w:t>
            </w:r>
          </w:p>
        </w:tc>
      </w:tr>
    </w:tbl>
    <w:p w14:paraId="7C23EE89" w14:textId="22993450" w:rsidR="003F2B0F" w:rsidRPr="000408D6" w:rsidRDefault="003F2B0F" w:rsidP="00E60932">
      <w:pPr>
        <w:spacing w:after="0"/>
        <w:rPr>
          <w:rFonts w:cs="Arial"/>
        </w:rPr>
      </w:pPr>
    </w:p>
    <w:p w14:paraId="59E7E088" w14:textId="77777777" w:rsidR="00EC07A2" w:rsidRPr="000408D6" w:rsidRDefault="00EC07A2" w:rsidP="00EC07A2">
      <w:pPr>
        <w:spacing w:after="0"/>
        <w:rPr>
          <w:rFonts w:cs="Arial"/>
        </w:rPr>
      </w:pPr>
      <w:r w:rsidRPr="000408D6">
        <w:rPr>
          <w:rFonts w:cs="Arial"/>
          <w:bCs/>
        </w:rPr>
        <w:t>Income limits for the CDBG program can be found here:</w:t>
      </w:r>
      <w:r w:rsidRPr="000408D6">
        <w:rPr>
          <w:rFonts w:cs="Arial"/>
        </w:rPr>
        <w:t xml:space="preserve"> </w:t>
      </w:r>
      <w:hyperlink r:id="rId28" w:history="1">
        <w:r w:rsidRPr="000408D6">
          <w:rPr>
            <w:rStyle w:val="Hyperlink"/>
            <w:rFonts w:cs="Arial"/>
          </w:rPr>
          <w:t>https://www.hudexchange.info/resource/5334/cdbg-income-limits/</w:t>
        </w:r>
      </w:hyperlink>
      <w:r w:rsidRPr="000408D6" w:rsidDel="00917E45">
        <w:rPr>
          <w:rFonts w:cs="Arial"/>
        </w:rPr>
        <w:t xml:space="preserve"> </w:t>
      </w:r>
    </w:p>
    <w:p w14:paraId="50CF01EB" w14:textId="77777777" w:rsidR="004544EC" w:rsidRDefault="004544EC" w:rsidP="00EC07A2">
      <w:pPr>
        <w:spacing w:after="0"/>
        <w:rPr>
          <w:rFonts w:cs="Arial"/>
        </w:rPr>
      </w:pPr>
    </w:p>
    <w:p w14:paraId="2F9DB639" w14:textId="5F4A724C" w:rsidR="00EC07A2" w:rsidRPr="000408D6" w:rsidRDefault="004544EC" w:rsidP="00EC07A2">
      <w:pPr>
        <w:spacing w:after="0"/>
        <w:rPr>
          <w:rFonts w:eastAsia="Arial" w:cs="Arial"/>
          <w:bCs/>
          <w:i/>
          <w:u w:val="single"/>
        </w:rPr>
      </w:pPr>
      <w:r>
        <w:rPr>
          <w:rFonts w:cs="Arial"/>
        </w:rPr>
        <w:t>Selected organizations will be responsible for ensuring the most recent income limits are used in determining participant eligibility.</w:t>
      </w:r>
      <w:r w:rsidR="00EC07A2" w:rsidRPr="000408D6">
        <w:rPr>
          <w:rFonts w:cs="Arial"/>
        </w:rPr>
        <w:br w:type="page"/>
      </w:r>
    </w:p>
    <w:p w14:paraId="6CCB9A35" w14:textId="77777777" w:rsidR="00EC07A2" w:rsidRPr="000408D6" w:rsidRDefault="00EC07A2" w:rsidP="00E60932">
      <w:pPr>
        <w:spacing w:after="0"/>
        <w:rPr>
          <w:rFonts w:cs="Arial"/>
        </w:rPr>
      </w:pPr>
    </w:p>
    <w:p w14:paraId="6B110142" w14:textId="63EE2E44" w:rsidR="00AF638B" w:rsidRPr="000408D6" w:rsidRDefault="005E582F" w:rsidP="009F19C4">
      <w:pPr>
        <w:pStyle w:val="Heading2"/>
        <w:rPr>
          <w:sz w:val="24"/>
          <w:szCs w:val="24"/>
        </w:rPr>
      </w:pPr>
      <w:bookmarkStart w:id="21" w:name="_Toc101449208"/>
      <w:r w:rsidRPr="000408D6">
        <w:rPr>
          <w:sz w:val="24"/>
          <w:szCs w:val="24"/>
        </w:rPr>
        <w:t xml:space="preserve">Appendix </w:t>
      </w:r>
      <w:r w:rsidR="00A55D93" w:rsidRPr="000408D6">
        <w:rPr>
          <w:sz w:val="24"/>
          <w:szCs w:val="24"/>
        </w:rPr>
        <w:t>B</w:t>
      </w:r>
      <w:r w:rsidRPr="000408D6">
        <w:rPr>
          <w:sz w:val="24"/>
          <w:szCs w:val="24"/>
        </w:rPr>
        <w:t xml:space="preserve">: </w:t>
      </w:r>
      <w:r w:rsidR="001B08B1">
        <w:rPr>
          <w:sz w:val="24"/>
          <w:szCs w:val="24"/>
        </w:rPr>
        <w:t xml:space="preserve">2026 – 2027 </w:t>
      </w:r>
      <w:r w:rsidR="003E438B" w:rsidRPr="000408D6">
        <w:rPr>
          <w:sz w:val="24"/>
          <w:szCs w:val="24"/>
        </w:rPr>
        <w:t xml:space="preserve">(PY </w:t>
      </w:r>
      <w:r w:rsidR="007F4149" w:rsidRPr="000408D6">
        <w:rPr>
          <w:sz w:val="24"/>
          <w:szCs w:val="24"/>
        </w:rPr>
        <w:t>2026</w:t>
      </w:r>
      <w:r w:rsidR="009F19C4" w:rsidRPr="000408D6">
        <w:rPr>
          <w:sz w:val="24"/>
          <w:szCs w:val="24"/>
        </w:rPr>
        <w:t xml:space="preserve">) </w:t>
      </w:r>
      <w:r w:rsidR="00A55D93" w:rsidRPr="000408D6">
        <w:rPr>
          <w:sz w:val="24"/>
          <w:szCs w:val="24"/>
        </w:rPr>
        <w:t xml:space="preserve">Fair Housing </w:t>
      </w:r>
      <w:r w:rsidR="009F19C4" w:rsidRPr="000408D6">
        <w:rPr>
          <w:sz w:val="24"/>
          <w:szCs w:val="24"/>
        </w:rPr>
        <w:t>NOFA Timeline</w:t>
      </w:r>
      <w:bookmarkEnd w:id="21"/>
    </w:p>
    <w:p w14:paraId="08216DE8" w14:textId="22C81F72" w:rsidR="006A60FB" w:rsidRPr="000408D6" w:rsidRDefault="00AF638B" w:rsidP="00F95657">
      <w:pPr>
        <w:rPr>
          <w:rFonts w:cs="Arial"/>
          <w:i/>
        </w:rPr>
      </w:pPr>
      <w:r w:rsidRPr="000408D6">
        <w:rPr>
          <w:rFonts w:cs="Arial"/>
        </w:rPr>
        <w:t>Note: schedule is tentative and subject to change.</w:t>
      </w:r>
      <w:r w:rsidR="009F19C4" w:rsidRPr="000408D6">
        <w:rPr>
          <w:rFonts w:cs="Arial"/>
        </w:rPr>
        <w:br/>
      </w:r>
    </w:p>
    <w:tbl>
      <w:tblPr>
        <w:tblW w:w="10353" w:type="dxa"/>
        <w:tblInd w:w="-522" w:type="dxa"/>
        <w:tblBorders>
          <w:top w:val="single" w:sz="14" w:space="0" w:color="000000"/>
          <w:left w:val="single" w:sz="14" w:space="0" w:color="000000"/>
          <w:bottom w:val="single" w:sz="14" w:space="0" w:color="000000"/>
          <w:right w:val="single" w:sz="14" w:space="0" w:color="000000"/>
          <w:insideH w:val="single" w:sz="14" w:space="0" w:color="000000"/>
          <w:insideV w:val="single" w:sz="14" w:space="0" w:color="000000"/>
        </w:tblBorders>
        <w:tblLayout w:type="fixed"/>
        <w:tblCellMar>
          <w:top w:w="72" w:type="dxa"/>
          <w:left w:w="115" w:type="dxa"/>
          <w:bottom w:w="72" w:type="dxa"/>
          <w:right w:w="115" w:type="dxa"/>
        </w:tblCellMar>
        <w:tblLook w:val="01E0" w:firstRow="1" w:lastRow="1" w:firstColumn="1" w:lastColumn="1" w:noHBand="0" w:noVBand="0"/>
      </w:tblPr>
      <w:tblGrid>
        <w:gridCol w:w="3442"/>
        <w:gridCol w:w="6911"/>
      </w:tblGrid>
      <w:tr w:rsidR="006A60FB" w:rsidRPr="000408D6" w14:paraId="24E17175" w14:textId="77777777" w:rsidTr="007F4149">
        <w:trPr>
          <w:trHeight w:hRule="exact" w:val="710"/>
        </w:trPr>
        <w:tc>
          <w:tcPr>
            <w:tcW w:w="3442" w:type="dxa"/>
            <w:shd w:val="clear" w:color="auto" w:fill="D9D9D9" w:themeFill="background1" w:themeFillShade="D9"/>
            <w:vAlign w:val="center"/>
          </w:tcPr>
          <w:p w14:paraId="05822524" w14:textId="08355054" w:rsidR="006A60FB" w:rsidRPr="000408D6" w:rsidRDefault="009F19C4" w:rsidP="009F19C4">
            <w:pPr>
              <w:pStyle w:val="TableText"/>
              <w:rPr>
                <w:rFonts w:cs="Arial"/>
                <w:b/>
              </w:rPr>
            </w:pPr>
            <w:r w:rsidRPr="000408D6">
              <w:rPr>
                <w:rFonts w:cs="Arial"/>
                <w:b/>
              </w:rPr>
              <w:t>Tentative Dates</w:t>
            </w:r>
          </w:p>
        </w:tc>
        <w:tc>
          <w:tcPr>
            <w:tcW w:w="6911" w:type="dxa"/>
            <w:shd w:val="clear" w:color="auto" w:fill="D9D9D9" w:themeFill="background1" w:themeFillShade="D9"/>
            <w:vAlign w:val="center"/>
          </w:tcPr>
          <w:p w14:paraId="6CD790F8" w14:textId="56F34DD4" w:rsidR="006A60FB" w:rsidRPr="000408D6" w:rsidRDefault="009F19C4" w:rsidP="009F19C4">
            <w:pPr>
              <w:pStyle w:val="TableText"/>
              <w:rPr>
                <w:rFonts w:cs="Arial"/>
                <w:b/>
              </w:rPr>
            </w:pPr>
            <w:r w:rsidRPr="000408D6">
              <w:rPr>
                <w:rFonts w:cs="Arial"/>
                <w:b/>
              </w:rPr>
              <w:t>Activity</w:t>
            </w:r>
          </w:p>
        </w:tc>
      </w:tr>
      <w:tr w:rsidR="004544EC" w:rsidRPr="000408D6" w14:paraId="4B18081F" w14:textId="77777777" w:rsidTr="007F4149">
        <w:trPr>
          <w:trHeight w:hRule="exact" w:val="1115"/>
        </w:trPr>
        <w:tc>
          <w:tcPr>
            <w:tcW w:w="3442" w:type="dxa"/>
            <w:tcBorders>
              <w:bottom w:val="single" w:sz="9" w:space="0" w:color="000000"/>
              <w:right w:val="single" w:sz="9" w:space="0" w:color="000000"/>
            </w:tcBorders>
            <w:vAlign w:val="center"/>
          </w:tcPr>
          <w:p w14:paraId="453E611D" w14:textId="1F1E25C1" w:rsidR="004544EC" w:rsidRPr="000408D6" w:rsidRDefault="0067520C" w:rsidP="007F0FE8">
            <w:pPr>
              <w:pStyle w:val="TableText"/>
              <w:rPr>
                <w:rFonts w:cs="Arial"/>
              </w:rPr>
            </w:pPr>
            <w:r>
              <w:rPr>
                <w:rFonts w:cs="Arial"/>
              </w:rPr>
              <w:t xml:space="preserve">April 10, 2026, </w:t>
            </w:r>
          </w:p>
        </w:tc>
        <w:tc>
          <w:tcPr>
            <w:tcW w:w="6911" w:type="dxa"/>
            <w:tcBorders>
              <w:left w:val="single" w:sz="9" w:space="0" w:color="000000"/>
              <w:bottom w:val="single" w:sz="9" w:space="0" w:color="000000"/>
            </w:tcBorders>
            <w:vAlign w:val="center"/>
          </w:tcPr>
          <w:p w14:paraId="05208196" w14:textId="02486CAB" w:rsidR="004544EC" w:rsidRPr="000408D6" w:rsidRDefault="004544EC" w:rsidP="00DD2013">
            <w:pPr>
              <w:pStyle w:val="TableText"/>
              <w:jc w:val="left"/>
              <w:rPr>
                <w:rFonts w:cs="Arial"/>
              </w:rPr>
            </w:pPr>
            <w:r>
              <w:rPr>
                <w:rFonts w:cs="Arial"/>
              </w:rPr>
              <w:t>Release of Fair Housing NOFA</w:t>
            </w:r>
          </w:p>
        </w:tc>
      </w:tr>
      <w:tr w:rsidR="004544EC" w:rsidRPr="000408D6" w14:paraId="475C4DBD" w14:textId="77777777" w:rsidTr="007F4149">
        <w:trPr>
          <w:trHeight w:hRule="exact" w:val="1115"/>
        </w:trPr>
        <w:tc>
          <w:tcPr>
            <w:tcW w:w="3442" w:type="dxa"/>
            <w:tcBorders>
              <w:bottom w:val="single" w:sz="9" w:space="0" w:color="000000"/>
              <w:right w:val="single" w:sz="9" w:space="0" w:color="000000"/>
            </w:tcBorders>
            <w:vAlign w:val="center"/>
          </w:tcPr>
          <w:p w14:paraId="3860521B" w14:textId="326F28F9" w:rsidR="004544EC" w:rsidRPr="000408D6" w:rsidRDefault="0067520C" w:rsidP="004544EC">
            <w:pPr>
              <w:pStyle w:val="TableText"/>
              <w:rPr>
                <w:rFonts w:cs="Arial"/>
              </w:rPr>
            </w:pPr>
            <w:r>
              <w:rPr>
                <w:rFonts w:cs="Arial"/>
              </w:rPr>
              <w:t>May 15, 2026</w:t>
            </w:r>
          </w:p>
          <w:p w14:paraId="4F597EB5" w14:textId="1E82B4FE" w:rsidR="004544EC" w:rsidRPr="000408D6" w:rsidDel="004544EC" w:rsidRDefault="00854F74" w:rsidP="004544EC">
            <w:pPr>
              <w:pStyle w:val="TableText"/>
              <w:rPr>
                <w:rFonts w:cs="Arial"/>
              </w:rPr>
            </w:pPr>
            <w:r>
              <w:rPr>
                <w:rFonts w:cs="Arial"/>
              </w:rPr>
              <w:t>Must be r</w:t>
            </w:r>
            <w:r w:rsidR="0067520C">
              <w:rPr>
                <w:rFonts w:cs="Arial"/>
              </w:rPr>
              <w:t>eceived by</w:t>
            </w:r>
            <w:r w:rsidR="004544EC" w:rsidRPr="000408D6">
              <w:rPr>
                <w:rFonts w:cs="Arial"/>
              </w:rPr>
              <w:br/>
              <w:t>4:00 PM</w:t>
            </w:r>
          </w:p>
        </w:tc>
        <w:tc>
          <w:tcPr>
            <w:tcW w:w="6911" w:type="dxa"/>
            <w:tcBorders>
              <w:left w:val="single" w:sz="9" w:space="0" w:color="000000"/>
              <w:bottom w:val="single" w:sz="9" w:space="0" w:color="000000"/>
            </w:tcBorders>
            <w:vAlign w:val="center"/>
          </w:tcPr>
          <w:p w14:paraId="375EB541" w14:textId="7DFEA12B" w:rsidR="004544EC" w:rsidRPr="000408D6" w:rsidRDefault="004544EC" w:rsidP="004544EC">
            <w:pPr>
              <w:pStyle w:val="TableText"/>
              <w:jc w:val="left"/>
              <w:rPr>
                <w:rFonts w:cs="Arial"/>
              </w:rPr>
            </w:pPr>
            <w:r w:rsidRPr="000408D6">
              <w:rPr>
                <w:rFonts w:cs="Arial"/>
              </w:rPr>
              <w:t>Fair Housing NOFA Applications Due to City</w:t>
            </w:r>
          </w:p>
        </w:tc>
      </w:tr>
      <w:tr w:rsidR="004544EC" w:rsidRPr="000408D6" w14:paraId="7946C567" w14:textId="77777777" w:rsidTr="007F4149">
        <w:trPr>
          <w:trHeight w:hRule="exact" w:val="1115"/>
        </w:trPr>
        <w:tc>
          <w:tcPr>
            <w:tcW w:w="3442" w:type="dxa"/>
            <w:tcBorders>
              <w:bottom w:val="single" w:sz="9" w:space="0" w:color="000000"/>
              <w:right w:val="single" w:sz="9" w:space="0" w:color="000000"/>
            </w:tcBorders>
            <w:vAlign w:val="center"/>
          </w:tcPr>
          <w:p w14:paraId="0C9A5E7F" w14:textId="32F984A5" w:rsidR="004544EC" w:rsidRPr="000408D6" w:rsidRDefault="004544EC" w:rsidP="004544EC">
            <w:pPr>
              <w:pStyle w:val="TableText"/>
              <w:rPr>
                <w:rFonts w:cs="Arial"/>
              </w:rPr>
            </w:pPr>
            <w:r>
              <w:rPr>
                <w:rFonts w:cs="Arial"/>
              </w:rPr>
              <w:t>TBD – Pending HUD’s Announcement of FY2026 Allocations</w:t>
            </w:r>
          </w:p>
          <w:p w14:paraId="77CA569D" w14:textId="0BBA1C76" w:rsidR="004544EC" w:rsidRPr="000408D6" w:rsidRDefault="004544EC" w:rsidP="004544EC">
            <w:pPr>
              <w:pStyle w:val="TableText"/>
              <w:rPr>
                <w:rFonts w:cs="Arial"/>
              </w:rPr>
            </w:pPr>
          </w:p>
        </w:tc>
        <w:tc>
          <w:tcPr>
            <w:tcW w:w="6911" w:type="dxa"/>
            <w:tcBorders>
              <w:left w:val="single" w:sz="9" w:space="0" w:color="000000"/>
              <w:bottom w:val="single" w:sz="9" w:space="0" w:color="000000"/>
            </w:tcBorders>
            <w:vAlign w:val="center"/>
          </w:tcPr>
          <w:p w14:paraId="7BDD710C" w14:textId="24206261" w:rsidR="004544EC" w:rsidRPr="000408D6" w:rsidRDefault="004544EC" w:rsidP="004544EC">
            <w:pPr>
              <w:pStyle w:val="TableText"/>
              <w:jc w:val="left"/>
              <w:rPr>
                <w:rFonts w:cs="Arial"/>
              </w:rPr>
            </w:pPr>
            <w:r>
              <w:rPr>
                <w:rFonts w:cs="Arial"/>
              </w:rPr>
              <w:t>Draft</w:t>
            </w:r>
            <w:r w:rsidRPr="000408D6">
              <w:rPr>
                <w:rFonts w:cs="Arial"/>
              </w:rPr>
              <w:t xml:space="preserve"> </w:t>
            </w:r>
            <w:r>
              <w:rPr>
                <w:rFonts w:cs="Arial"/>
              </w:rPr>
              <w:t>2026 – 2027</w:t>
            </w:r>
            <w:r w:rsidRPr="000408D6">
              <w:rPr>
                <w:rFonts w:cs="Arial"/>
              </w:rPr>
              <w:t xml:space="preserve"> Annual Action Plan</w:t>
            </w:r>
            <w:r>
              <w:rPr>
                <w:rFonts w:cs="Arial"/>
              </w:rPr>
              <w:t xml:space="preserve"> Published for the 30-day Public Comment Period</w:t>
            </w:r>
          </w:p>
        </w:tc>
      </w:tr>
      <w:tr w:rsidR="004544EC" w:rsidRPr="000408D6" w14:paraId="257F7FB9" w14:textId="77777777" w:rsidTr="00BF32DD">
        <w:trPr>
          <w:trHeight w:hRule="exact" w:val="1093"/>
        </w:trPr>
        <w:tc>
          <w:tcPr>
            <w:tcW w:w="3442" w:type="dxa"/>
            <w:tcBorders>
              <w:top w:val="single" w:sz="9" w:space="0" w:color="000000"/>
              <w:bottom w:val="single" w:sz="9" w:space="0" w:color="000000"/>
              <w:right w:val="single" w:sz="9" w:space="0" w:color="000000"/>
            </w:tcBorders>
            <w:vAlign w:val="center"/>
          </w:tcPr>
          <w:p w14:paraId="400CF843" w14:textId="77777777" w:rsidR="004544EC" w:rsidRPr="000408D6" w:rsidRDefault="004544EC" w:rsidP="004544EC">
            <w:pPr>
              <w:pStyle w:val="TableText"/>
              <w:rPr>
                <w:rFonts w:cs="Arial"/>
              </w:rPr>
            </w:pPr>
            <w:r>
              <w:rPr>
                <w:rFonts w:cs="Arial"/>
              </w:rPr>
              <w:t>TBD – Pending HUD’s Announcement of FY2026 Allocations</w:t>
            </w:r>
          </w:p>
          <w:p w14:paraId="04624369" w14:textId="5D9E2BB1" w:rsidR="004544EC" w:rsidRPr="000408D6" w:rsidRDefault="004544EC" w:rsidP="004544EC">
            <w:pPr>
              <w:pStyle w:val="TableText"/>
              <w:rPr>
                <w:rFonts w:cs="Arial"/>
              </w:rPr>
            </w:pPr>
          </w:p>
        </w:tc>
        <w:tc>
          <w:tcPr>
            <w:tcW w:w="6911" w:type="dxa"/>
            <w:tcBorders>
              <w:top w:val="single" w:sz="9" w:space="0" w:color="000000"/>
              <w:left w:val="single" w:sz="9" w:space="0" w:color="000000"/>
              <w:bottom w:val="single" w:sz="9" w:space="0" w:color="000000"/>
            </w:tcBorders>
            <w:vAlign w:val="center"/>
          </w:tcPr>
          <w:p w14:paraId="48C0BF80" w14:textId="1DDF0540" w:rsidR="004544EC" w:rsidRPr="000408D6" w:rsidRDefault="004544EC" w:rsidP="004544EC">
            <w:pPr>
              <w:pStyle w:val="TableText"/>
              <w:jc w:val="left"/>
              <w:rPr>
                <w:rFonts w:cs="Arial"/>
              </w:rPr>
            </w:pPr>
            <w:r w:rsidRPr="000408D6">
              <w:rPr>
                <w:rFonts w:cs="Arial"/>
              </w:rPr>
              <w:t xml:space="preserve">City Council Consideration of </w:t>
            </w:r>
            <w:r>
              <w:rPr>
                <w:rFonts w:cs="Arial"/>
              </w:rPr>
              <w:t>PY 2026-2027 Annual Action Plan</w:t>
            </w:r>
          </w:p>
        </w:tc>
      </w:tr>
      <w:tr w:rsidR="004544EC" w:rsidRPr="000408D6" w14:paraId="3ABA5DC1" w14:textId="5EA1AD05" w:rsidTr="00EF0257">
        <w:trPr>
          <w:trHeight w:hRule="exact" w:val="1147"/>
        </w:trPr>
        <w:tc>
          <w:tcPr>
            <w:tcW w:w="3442" w:type="dxa"/>
            <w:tcBorders>
              <w:top w:val="single" w:sz="9" w:space="0" w:color="000000"/>
              <w:bottom w:val="single" w:sz="9" w:space="0" w:color="000000"/>
              <w:right w:val="single" w:sz="9" w:space="0" w:color="000000"/>
            </w:tcBorders>
            <w:vAlign w:val="center"/>
          </w:tcPr>
          <w:p w14:paraId="41CB169A" w14:textId="77777777" w:rsidR="004544EC" w:rsidRPr="000408D6" w:rsidRDefault="004544EC" w:rsidP="004544EC">
            <w:pPr>
              <w:pStyle w:val="TableText"/>
              <w:rPr>
                <w:rFonts w:cs="Arial"/>
              </w:rPr>
            </w:pPr>
            <w:r>
              <w:rPr>
                <w:rFonts w:cs="Arial"/>
              </w:rPr>
              <w:t>TBD – Pending HUD’s Announcement of FY2026 Allocations</w:t>
            </w:r>
          </w:p>
          <w:p w14:paraId="4ACFC617" w14:textId="65C2E84A" w:rsidR="004544EC" w:rsidRPr="000408D6" w:rsidRDefault="004544EC" w:rsidP="004544EC">
            <w:pPr>
              <w:pStyle w:val="TableText"/>
              <w:rPr>
                <w:rFonts w:cs="Arial"/>
              </w:rPr>
            </w:pPr>
          </w:p>
        </w:tc>
        <w:tc>
          <w:tcPr>
            <w:tcW w:w="6911" w:type="dxa"/>
            <w:tcBorders>
              <w:top w:val="single" w:sz="9" w:space="0" w:color="000000"/>
              <w:left w:val="single" w:sz="9" w:space="0" w:color="000000"/>
              <w:bottom w:val="single" w:sz="9" w:space="0" w:color="000000"/>
            </w:tcBorders>
            <w:vAlign w:val="center"/>
          </w:tcPr>
          <w:p w14:paraId="1FEF4F1A" w14:textId="598DBFA7" w:rsidR="004544EC" w:rsidRPr="000408D6" w:rsidRDefault="004544EC" w:rsidP="004544EC">
            <w:pPr>
              <w:pStyle w:val="TableText"/>
              <w:jc w:val="left"/>
              <w:rPr>
                <w:rFonts w:cs="Arial"/>
              </w:rPr>
            </w:pPr>
            <w:r w:rsidRPr="000408D6">
              <w:rPr>
                <w:rFonts w:cs="Arial"/>
              </w:rPr>
              <w:t>Subrecipient Agreements Executed</w:t>
            </w:r>
          </w:p>
        </w:tc>
      </w:tr>
      <w:tr w:rsidR="004544EC" w:rsidRPr="000408D6" w14:paraId="3B97A778" w14:textId="77777777" w:rsidTr="00EF0257">
        <w:trPr>
          <w:trHeight w:hRule="exact" w:val="1525"/>
        </w:trPr>
        <w:tc>
          <w:tcPr>
            <w:tcW w:w="3442" w:type="dxa"/>
            <w:tcBorders>
              <w:top w:val="single" w:sz="9" w:space="0" w:color="000000"/>
              <w:bottom w:val="single" w:sz="9" w:space="0" w:color="000000"/>
              <w:right w:val="single" w:sz="9" w:space="0" w:color="000000"/>
            </w:tcBorders>
            <w:vAlign w:val="center"/>
          </w:tcPr>
          <w:p w14:paraId="1AAB8FA1" w14:textId="05EEE489" w:rsidR="004544EC" w:rsidRPr="000408D6" w:rsidRDefault="004544EC" w:rsidP="004544EC">
            <w:pPr>
              <w:pStyle w:val="TableText"/>
              <w:rPr>
                <w:rFonts w:cs="Arial"/>
              </w:rPr>
            </w:pPr>
            <w:r>
              <w:rPr>
                <w:rFonts w:cs="Arial"/>
              </w:rPr>
              <w:t>July 1, 2026</w:t>
            </w:r>
          </w:p>
        </w:tc>
        <w:tc>
          <w:tcPr>
            <w:tcW w:w="6911" w:type="dxa"/>
            <w:tcBorders>
              <w:top w:val="single" w:sz="9" w:space="0" w:color="000000"/>
              <w:left w:val="single" w:sz="9" w:space="0" w:color="000000"/>
              <w:bottom w:val="single" w:sz="9" w:space="0" w:color="000000"/>
            </w:tcBorders>
            <w:vAlign w:val="center"/>
          </w:tcPr>
          <w:p w14:paraId="42B1D726" w14:textId="01568946" w:rsidR="004544EC" w:rsidRPr="000408D6" w:rsidRDefault="004544EC" w:rsidP="004544EC">
            <w:pPr>
              <w:pStyle w:val="TableText"/>
              <w:jc w:val="left"/>
              <w:rPr>
                <w:rFonts w:cs="Arial"/>
              </w:rPr>
            </w:pPr>
            <w:r>
              <w:rPr>
                <w:rFonts w:cs="Arial"/>
              </w:rPr>
              <w:t>PY2026 Activities Begin</w:t>
            </w:r>
          </w:p>
        </w:tc>
      </w:tr>
    </w:tbl>
    <w:p w14:paraId="73EB329D" w14:textId="4DBE52EB" w:rsidR="000C2FE5" w:rsidRPr="000408D6" w:rsidRDefault="000C2FE5" w:rsidP="0090560E">
      <w:pPr>
        <w:rPr>
          <w:rFonts w:cs="Arial"/>
        </w:rPr>
      </w:pPr>
    </w:p>
    <w:sectPr w:rsidR="000C2FE5" w:rsidRPr="000408D6" w:rsidSect="005E582F">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A726" w14:textId="77777777" w:rsidR="002B02D1" w:rsidRDefault="002B02D1">
      <w:r>
        <w:separator/>
      </w:r>
    </w:p>
  </w:endnote>
  <w:endnote w:type="continuationSeparator" w:id="0">
    <w:p w14:paraId="6706044F" w14:textId="77777777" w:rsidR="002B02D1" w:rsidRDefault="002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45E6" w14:textId="7C02F370" w:rsidR="006F6116" w:rsidRDefault="006F6116" w:rsidP="00BC6A31">
    <w:pPr>
      <w:jc w:val="right"/>
    </w:pPr>
    <w:r>
      <w:t xml:space="preserve">Page </w:t>
    </w:r>
    <w:r>
      <w:rPr>
        <w:b/>
      </w:rPr>
      <w:fldChar w:fldCharType="begin"/>
    </w:r>
    <w:r>
      <w:rPr>
        <w:b/>
      </w:rPr>
      <w:instrText xml:space="preserve"> PAGE  \* Arabic  \* MERGEFORMAT </w:instrText>
    </w:r>
    <w:r>
      <w:rPr>
        <w:b/>
      </w:rPr>
      <w:fldChar w:fldCharType="separate"/>
    </w:r>
    <w:r w:rsidR="00780F82">
      <w:rPr>
        <w:b/>
        <w:noProof/>
      </w:rPr>
      <w:t>16</w:t>
    </w:r>
    <w:r>
      <w:rPr>
        <w:b/>
      </w:rPr>
      <w:fldChar w:fldCharType="end"/>
    </w:r>
    <w:r>
      <w:t xml:space="preserve"> of </w:t>
    </w:r>
    <w:r>
      <w:rPr>
        <w:b/>
      </w:rPr>
      <w:fldChar w:fldCharType="begin"/>
    </w:r>
    <w:r>
      <w:rPr>
        <w:b/>
      </w:rPr>
      <w:instrText xml:space="preserve"> NUMPAGES  \* Arabic  \* MERGEFORMAT </w:instrText>
    </w:r>
    <w:r>
      <w:rPr>
        <w:b/>
      </w:rPr>
      <w:fldChar w:fldCharType="separate"/>
    </w:r>
    <w:r w:rsidR="00780F82">
      <w:rPr>
        <w:b/>
        <w:noProof/>
      </w:rPr>
      <w:t>16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9D16" w14:textId="77777777" w:rsidR="002B02D1" w:rsidRDefault="002B02D1">
      <w:r>
        <w:separator/>
      </w:r>
    </w:p>
  </w:footnote>
  <w:footnote w:type="continuationSeparator" w:id="0">
    <w:p w14:paraId="7F1950AC" w14:textId="77777777" w:rsidR="002B02D1" w:rsidRDefault="002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5965" w14:textId="7F30D97C" w:rsidR="006F6116" w:rsidRPr="00BC6A31" w:rsidRDefault="006F6116" w:rsidP="00BC6A31">
    <w:pPr>
      <w:jc w:val="center"/>
    </w:pPr>
    <w:r>
      <w:t>City of Fresno</w:t>
    </w:r>
    <w:r w:rsidR="000C5161">
      <w:t xml:space="preserve"> </w:t>
    </w:r>
    <w:r w:rsidR="001B08B1">
      <w:t>2026 – 2027</w:t>
    </w:r>
    <w:r w:rsidR="000C5161">
      <w:t xml:space="preserve"> </w:t>
    </w:r>
    <w:r w:rsidR="00867A44">
      <w:t>Fair Housing</w:t>
    </w:r>
    <w:r>
      <w:t xml:space="preserve"> NOFA</w:t>
    </w:r>
    <w:r w:rsidR="00867A44">
      <w:t xml:space="preserve">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AC90" w14:textId="19D35413" w:rsidR="00965E34" w:rsidRPr="00EE4340" w:rsidRDefault="00965E34" w:rsidP="00EE4340">
    <w:pPr>
      <w:pStyle w:val="Header"/>
      <w:jc w:val="center"/>
      <w:rPr>
        <w:b/>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4D4E"/>
    <w:multiLevelType w:val="hybridMultilevel"/>
    <w:tmpl w:val="C2E2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93E76"/>
    <w:multiLevelType w:val="hybridMultilevel"/>
    <w:tmpl w:val="C972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6364F"/>
    <w:multiLevelType w:val="hybridMultilevel"/>
    <w:tmpl w:val="49D6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B2EFD"/>
    <w:multiLevelType w:val="hybridMultilevel"/>
    <w:tmpl w:val="AAAC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D16BA"/>
    <w:multiLevelType w:val="hybridMultilevel"/>
    <w:tmpl w:val="3320E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C5927"/>
    <w:multiLevelType w:val="hybridMultilevel"/>
    <w:tmpl w:val="E7FA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930FB"/>
    <w:multiLevelType w:val="hybridMultilevel"/>
    <w:tmpl w:val="1372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F7CAD"/>
    <w:multiLevelType w:val="hybridMultilevel"/>
    <w:tmpl w:val="B55E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95791"/>
    <w:multiLevelType w:val="hybridMultilevel"/>
    <w:tmpl w:val="411E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45E2A"/>
    <w:multiLevelType w:val="hybridMultilevel"/>
    <w:tmpl w:val="C554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A1A0C"/>
    <w:multiLevelType w:val="hybridMultilevel"/>
    <w:tmpl w:val="A53C6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D095C"/>
    <w:multiLevelType w:val="hybridMultilevel"/>
    <w:tmpl w:val="84DEB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92C5F"/>
    <w:multiLevelType w:val="hybridMultilevel"/>
    <w:tmpl w:val="16C288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344368"/>
    <w:multiLevelType w:val="hybridMultilevel"/>
    <w:tmpl w:val="6C1282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0223E"/>
    <w:multiLevelType w:val="hybridMultilevel"/>
    <w:tmpl w:val="451A8D5E"/>
    <w:lvl w:ilvl="0" w:tplc="B036B88E">
      <w:start w:val="1"/>
      <w:numFmt w:val="decimal"/>
      <w:lvlText w:val="%1."/>
      <w:lvlJc w:val="left"/>
      <w:pPr>
        <w:ind w:left="720" w:hanging="360"/>
      </w:pPr>
      <w:rPr>
        <w:rFonts w:ascii="Arial" w:hAnsi="Arial" w:cs="Arial" w:hint="default"/>
        <w:b/>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E2FAA"/>
    <w:multiLevelType w:val="hybridMultilevel"/>
    <w:tmpl w:val="49E2D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80021"/>
    <w:multiLevelType w:val="hybridMultilevel"/>
    <w:tmpl w:val="41EC5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390885"/>
    <w:multiLevelType w:val="hybridMultilevel"/>
    <w:tmpl w:val="F4BC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9294D"/>
    <w:multiLevelType w:val="hybridMultilevel"/>
    <w:tmpl w:val="092638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5D671B"/>
    <w:multiLevelType w:val="hybridMultilevel"/>
    <w:tmpl w:val="9C2A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501FD"/>
    <w:multiLevelType w:val="hybridMultilevel"/>
    <w:tmpl w:val="F87E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5E2982"/>
    <w:multiLevelType w:val="hybridMultilevel"/>
    <w:tmpl w:val="152465A8"/>
    <w:lvl w:ilvl="0" w:tplc="63623E34">
      <w:start w:val="1"/>
      <w:numFmt w:val="bullet"/>
      <w:lvlText w:val="•"/>
      <w:lvlJc w:val="left"/>
      <w:pPr>
        <w:tabs>
          <w:tab w:val="num" w:pos="720"/>
        </w:tabs>
        <w:ind w:left="720" w:hanging="360"/>
      </w:pPr>
      <w:rPr>
        <w:rFonts w:ascii="Arial" w:hAnsi="Arial" w:hint="default"/>
      </w:rPr>
    </w:lvl>
    <w:lvl w:ilvl="1" w:tplc="9DDA4498">
      <w:start w:val="1"/>
      <w:numFmt w:val="bullet"/>
      <w:lvlText w:val="•"/>
      <w:lvlJc w:val="left"/>
      <w:pPr>
        <w:tabs>
          <w:tab w:val="num" w:pos="1440"/>
        </w:tabs>
        <w:ind w:left="1440" w:hanging="360"/>
      </w:pPr>
      <w:rPr>
        <w:rFonts w:ascii="Arial" w:hAnsi="Arial" w:hint="default"/>
      </w:rPr>
    </w:lvl>
    <w:lvl w:ilvl="2" w:tplc="D366761E" w:tentative="1">
      <w:start w:val="1"/>
      <w:numFmt w:val="bullet"/>
      <w:lvlText w:val="•"/>
      <w:lvlJc w:val="left"/>
      <w:pPr>
        <w:tabs>
          <w:tab w:val="num" w:pos="2160"/>
        </w:tabs>
        <w:ind w:left="2160" w:hanging="360"/>
      </w:pPr>
      <w:rPr>
        <w:rFonts w:ascii="Arial" w:hAnsi="Arial" w:hint="default"/>
      </w:rPr>
    </w:lvl>
    <w:lvl w:ilvl="3" w:tplc="D7D822CE" w:tentative="1">
      <w:start w:val="1"/>
      <w:numFmt w:val="bullet"/>
      <w:lvlText w:val="•"/>
      <w:lvlJc w:val="left"/>
      <w:pPr>
        <w:tabs>
          <w:tab w:val="num" w:pos="2880"/>
        </w:tabs>
        <w:ind w:left="2880" w:hanging="360"/>
      </w:pPr>
      <w:rPr>
        <w:rFonts w:ascii="Arial" w:hAnsi="Arial" w:hint="default"/>
      </w:rPr>
    </w:lvl>
    <w:lvl w:ilvl="4" w:tplc="7C5AEF28" w:tentative="1">
      <w:start w:val="1"/>
      <w:numFmt w:val="bullet"/>
      <w:lvlText w:val="•"/>
      <w:lvlJc w:val="left"/>
      <w:pPr>
        <w:tabs>
          <w:tab w:val="num" w:pos="3600"/>
        </w:tabs>
        <w:ind w:left="3600" w:hanging="360"/>
      </w:pPr>
      <w:rPr>
        <w:rFonts w:ascii="Arial" w:hAnsi="Arial" w:hint="default"/>
      </w:rPr>
    </w:lvl>
    <w:lvl w:ilvl="5" w:tplc="66D6773A" w:tentative="1">
      <w:start w:val="1"/>
      <w:numFmt w:val="bullet"/>
      <w:lvlText w:val="•"/>
      <w:lvlJc w:val="left"/>
      <w:pPr>
        <w:tabs>
          <w:tab w:val="num" w:pos="4320"/>
        </w:tabs>
        <w:ind w:left="4320" w:hanging="360"/>
      </w:pPr>
      <w:rPr>
        <w:rFonts w:ascii="Arial" w:hAnsi="Arial" w:hint="default"/>
      </w:rPr>
    </w:lvl>
    <w:lvl w:ilvl="6" w:tplc="65EEB10E" w:tentative="1">
      <w:start w:val="1"/>
      <w:numFmt w:val="bullet"/>
      <w:lvlText w:val="•"/>
      <w:lvlJc w:val="left"/>
      <w:pPr>
        <w:tabs>
          <w:tab w:val="num" w:pos="5040"/>
        </w:tabs>
        <w:ind w:left="5040" w:hanging="360"/>
      </w:pPr>
      <w:rPr>
        <w:rFonts w:ascii="Arial" w:hAnsi="Arial" w:hint="default"/>
      </w:rPr>
    </w:lvl>
    <w:lvl w:ilvl="7" w:tplc="0D1C615E" w:tentative="1">
      <w:start w:val="1"/>
      <w:numFmt w:val="bullet"/>
      <w:lvlText w:val="•"/>
      <w:lvlJc w:val="left"/>
      <w:pPr>
        <w:tabs>
          <w:tab w:val="num" w:pos="5760"/>
        </w:tabs>
        <w:ind w:left="5760" w:hanging="360"/>
      </w:pPr>
      <w:rPr>
        <w:rFonts w:ascii="Arial" w:hAnsi="Arial" w:hint="default"/>
      </w:rPr>
    </w:lvl>
    <w:lvl w:ilvl="8" w:tplc="B058D60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2B184C"/>
    <w:multiLevelType w:val="hybridMultilevel"/>
    <w:tmpl w:val="CF80F3D4"/>
    <w:lvl w:ilvl="0" w:tplc="D48A4D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56F67"/>
    <w:multiLevelType w:val="hybridMultilevel"/>
    <w:tmpl w:val="3E0CCE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1404B3"/>
    <w:multiLevelType w:val="hybridMultilevel"/>
    <w:tmpl w:val="E36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8031D"/>
    <w:multiLevelType w:val="hybridMultilevel"/>
    <w:tmpl w:val="4334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C0FE5"/>
    <w:multiLevelType w:val="hybridMultilevel"/>
    <w:tmpl w:val="C422D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8B3BDE"/>
    <w:multiLevelType w:val="hybridMultilevel"/>
    <w:tmpl w:val="E06C3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A131D1"/>
    <w:multiLevelType w:val="hybridMultilevel"/>
    <w:tmpl w:val="9CC2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55E63"/>
    <w:multiLevelType w:val="hybridMultilevel"/>
    <w:tmpl w:val="0C2E8FA2"/>
    <w:lvl w:ilvl="0" w:tplc="3598775C">
      <w:start w:val="1"/>
      <w:numFmt w:val="bullet"/>
      <w:lvlText w:val=""/>
      <w:lvlJc w:val="left"/>
      <w:pPr>
        <w:ind w:left="720" w:hanging="360"/>
      </w:pPr>
      <w:rPr>
        <w:rFonts w:ascii="Wingdings 3" w:hAnsi="Wingdings 3"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156892">
    <w:abstractNumId w:val="29"/>
  </w:num>
  <w:num w:numId="2" w16cid:durableId="878324251">
    <w:abstractNumId w:val="27"/>
  </w:num>
  <w:num w:numId="3" w16cid:durableId="1150950863">
    <w:abstractNumId w:val="2"/>
  </w:num>
  <w:num w:numId="4" w16cid:durableId="963383913">
    <w:abstractNumId w:val="9"/>
  </w:num>
  <w:num w:numId="5" w16cid:durableId="721832116">
    <w:abstractNumId w:val="17"/>
  </w:num>
  <w:num w:numId="6" w16cid:durableId="108862185">
    <w:abstractNumId w:val="14"/>
  </w:num>
  <w:num w:numId="7" w16cid:durableId="80806293">
    <w:abstractNumId w:val="23"/>
  </w:num>
  <w:num w:numId="8" w16cid:durableId="866719509">
    <w:abstractNumId w:val="1"/>
  </w:num>
  <w:num w:numId="9" w16cid:durableId="1847137737">
    <w:abstractNumId w:val="16"/>
  </w:num>
  <w:num w:numId="10" w16cid:durableId="1648586585">
    <w:abstractNumId w:val="26"/>
  </w:num>
  <w:num w:numId="11" w16cid:durableId="792018733">
    <w:abstractNumId w:val="19"/>
  </w:num>
  <w:num w:numId="12" w16cid:durableId="1906407502">
    <w:abstractNumId w:val="20"/>
  </w:num>
  <w:num w:numId="13" w16cid:durableId="1222902825">
    <w:abstractNumId w:val="22"/>
  </w:num>
  <w:num w:numId="14" w16cid:durableId="1523014496">
    <w:abstractNumId w:val="15"/>
  </w:num>
  <w:num w:numId="15" w16cid:durableId="713622257">
    <w:abstractNumId w:val="0"/>
  </w:num>
  <w:num w:numId="16" w16cid:durableId="1688025427">
    <w:abstractNumId w:val="6"/>
  </w:num>
  <w:num w:numId="17" w16cid:durableId="188685643">
    <w:abstractNumId w:val="8"/>
  </w:num>
  <w:num w:numId="18" w16cid:durableId="1044325879">
    <w:abstractNumId w:val="10"/>
  </w:num>
  <w:num w:numId="19" w16cid:durableId="496920901">
    <w:abstractNumId w:val="11"/>
  </w:num>
  <w:num w:numId="20" w16cid:durableId="643894230">
    <w:abstractNumId w:val="5"/>
  </w:num>
  <w:num w:numId="21" w16cid:durableId="1300189317">
    <w:abstractNumId w:val="28"/>
  </w:num>
  <w:num w:numId="22" w16cid:durableId="1532107603">
    <w:abstractNumId w:val="25"/>
  </w:num>
  <w:num w:numId="23" w16cid:durableId="2088305245">
    <w:abstractNumId w:val="7"/>
  </w:num>
  <w:num w:numId="24" w16cid:durableId="489713277">
    <w:abstractNumId w:val="4"/>
  </w:num>
  <w:num w:numId="25" w16cid:durableId="36856107">
    <w:abstractNumId w:val="12"/>
  </w:num>
  <w:num w:numId="26" w16cid:durableId="253171002">
    <w:abstractNumId w:val="3"/>
  </w:num>
  <w:num w:numId="27" w16cid:durableId="956183249">
    <w:abstractNumId w:val="24"/>
  </w:num>
  <w:num w:numId="28" w16cid:durableId="965966838">
    <w:abstractNumId w:val="18"/>
  </w:num>
  <w:num w:numId="29" w16cid:durableId="1648634105">
    <w:abstractNumId w:val="13"/>
  </w:num>
  <w:num w:numId="30" w16cid:durableId="208085884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formatting="1" w:enforcement="1" w:cryptProviderType="rsaAES" w:cryptAlgorithmClass="hash" w:cryptAlgorithmType="typeAny" w:cryptAlgorithmSid="14" w:cryptSpinCount="100000" w:hash="mye7zqoO/ciVBc1EK7t9HcAKXoF7UBz4VUHRvIx6rZxJ2FIQttxdZyILoUGXXKC5D8ouBIQoJ3SHnVs3rNspDA==" w:salt="R5RrYb4xTTDxVLDHRyMlsA=="/>
  <w:defaultTabStop w:val="720"/>
  <w:drawingGridHorizontalSpacing w:val="110"/>
  <w:displayHorizontalDrawingGridEvery w:val="2"/>
  <w:characterSpacingControl w:val="doNotCompress"/>
  <w:hdrShapeDefaults>
    <o:shapedefaults v:ext="edit" spidmax="2050">
      <o:colormru v:ext="edit" colors="#f9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2E"/>
    <w:rsid w:val="000036E2"/>
    <w:rsid w:val="00014A43"/>
    <w:rsid w:val="00015158"/>
    <w:rsid w:val="00016E86"/>
    <w:rsid w:val="0002042D"/>
    <w:rsid w:val="000368AC"/>
    <w:rsid w:val="0003713E"/>
    <w:rsid w:val="000408D6"/>
    <w:rsid w:val="00040E89"/>
    <w:rsid w:val="00044209"/>
    <w:rsid w:val="00052011"/>
    <w:rsid w:val="000532F3"/>
    <w:rsid w:val="00053AB4"/>
    <w:rsid w:val="00072309"/>
    <w:rsid w:val="00073019"/>
    <w:rsid w:val="00075638"/>
    <w:rsid w:val="00083C04"/>
    <w:rsid w:val="00092867"/>
    <w:rsid w:val="000B69E6"/>
    <w:rsid w:val="000C2FE5"/>
    <w:rsid w:val="000C4F52"/>
    <w:rsid w:val="000C5161"/>
    <w:rsid w:val="00104225"/>
    <w:rsid w:val="001047E9"/>
    <w:rsid w:val="001163EE"/>
    <w:rsid w:val="001223F0"/>
    <w:rsid w:val="00123918"/>
    <w:rsid w:val="0012564F"/>
    <w:rsid w:val="00135872"/>
    <w:rsid w:val="001460A0"/>
    <w:rsid w:val="001550EE"/>
    <w:rsid w:val="001601F4"/>
    <w:rsid w:val="00163B2A"/>
    <w:rsid w:val="00165D1D"/>
    <w:rsid w:val="00167BA7"/>
    <w:rsid w:val="001779A9"/>
    <w:rsid w:val="00183ECB"/>
    <w:rsid w:val="00185859"/>
    <w:rsid w:val="001A5E97"/>
    <w:rsid w:val="001A7908"/>
    <w:rsid w:val="001B08B1"/>
    <w:rsid w:val="001B23AF"/>
    <w:rsid w:val="001C3A85"/>
    <w:rsid w:val="001C4871"/>
    <w:rsid w:val="001C7FCC"/>
    <w:rsid w:val="001D04F5"/>
    <w:rsid w:val="001D4B54"/>
    <w:rsid w:val="001E7ED7"/>
    <w:rsid w:val="001F7FA0"/>
    <w:rsid w:val="002046C8"/>
    <w:rsid w:val="002130EE"/>
    <w:rsid w:val="00225910"/>
    <w:rsid w:val="00240011"/>
    <w:rsid w:val="00250696"/>
    <w:rsid w:val="002523CD"/>
    <w:rsid w:val="00253FA5"/>
    <w:rsid w:val="00273B62"/>
    <w:rsid w:val="00280F26"/>
    <w:rsid w:val="00283E46"/>
    <w:rsid w:val="002924D1"/>
    <w:rsid w:val="002A459D"/>
    <w:rsid w:val="002B02D1"/>
    <w:rsid w:val="002B32E9"/>
    <w:rsid w:val="002B6BB2"/>
    <w:rsid w:val="002B72A8"/>
    <w:rsid w:val="002C322A"/>
    <w:rsid w:val="002C43F7"/>
    <w:rsid w:val="002D51A3"/>
    <w:rsid w:val="002E18E8"/>
    <w:rsid w:val="002E562D"/>
    <w:rsid w:val="002E58DD"/>
    <w:rsid w:val="002F123C"/>
    <w:rsid w:val="00301BBC"/>
    <w:rsid w:val="00301FFB"/>
    <w:rsid w:val="003070E6"/>
    <w:rsid w:val="00313ED1"/>
    <w:rsid w:val="00317C58"/>
    <w:rsid w:val="00326BA7"/>
    <w:rsid w:val="0032761D"/>
    <w:rsid w:val="003307F6"/>
    <w:rsid w:val="00340B4F"/>
    <w:rsid w:val="00344863"/>
    <w:rsid w:val="0034662A"/>
    <w:rsid w:val="003574B3"/>
    <w:rsid w:val="00375446"/>
    <w:rsid w:val="00383D27"/>
    <w:rsid w:val="00386DBB"/>
    <w:rsid w:val="003A1DDA"/>
    <w:rsid w:val="003C2C00"/>
    <w:rsid w:val="003C7E0C"/>
    <w:rsid w:val="003D7C8A"/>
    <w:rsid w:val="003E438B"/>
    <w:rsid w:val="003F26BD"/>
    <w:rsid w:val="003F2B0F"/>
    <w:rsid w:val="003F3AD3"/>
    <w:rsid w:val="003F4DE5"/>
    <w:rsid w:val="003F58C3"/>
    <w:rsid w:val="0040298E"/>
    <w:rsid w:val="00423454"/>
    <w:rsid w:val="0042508F"/>
    <w:rsid w:val="00427662"/>
    <w:rsid w:val="00443C52"/>
    <w:rsid w:val="00444418"/>
    <w:rsid w:val="00446076"/>
    <w:rsid w:val="004544EC"/>
    <w:rsid w:val="00460CFC"/>
    <w:rsid w:val="00470D49"/>
    <w:rsid w:val="00474A33"/>
    <w:rsid w:val="004774A6"/>
    <w:rsid w:val="004802D8"/>
    <w:rsid w:val="00487708"/>
    <w:rsid w:val="00490ED0"/>
    <w:rsid w:val="004A07ED"/>
    <w:rsid w:val="004A2EBE"/>
    <w:rsid w:val="004A548B"/>
    <w:rsid w:val="004A5634"/>
    <w:rsid w:val="004A74BC"/>
    <w:rsid w:val="004A788C"/>
    <w:rsid w:val="004B0627"/>
    <w:rsid w:val="004B377C"/>
    <w:rsid w:val="004B6AE3"/>
    <w:rsid w:val="004B6E9A"/>
    <w:rsid w:val="004C2835"/>
    <w:rsid w:val="004C4F90"/>
    <w:rsid w:val="004C63D2"/>
    <w:rsid w:val="004C79F1"/>
    <w:rsid w:val="004D0009"/>
    <w:rsid w:val="004D1A02"/>
    <w:rsid w:val="004E6511"/>
    <w:rsid w:val="0050124A"/>
    <w:rsid w:val="00511A5E"/>
    <w:rsid w:val="005151A5"/>
    <w:rsid w:val="00522118"/>
    <w:rsid w:val="005341D2"/>
    <w:rsid w:val="00535A71"/>
    <w:rsid w:val="00541288"/>
    <w:rsid w:val="00547765"/>
    <w:rsid w:val="0055602E"/>
    <w:rsid w:val="00561A2A"/>
    <w:rsid w:val="00576393"/>
    <w:rsid w:val="005874EE"/>
    <w:rsid w:val="00587824"/>
    <w:rsid w:val="00590774"/>
    <w:rsid w:val="00597C1A"/>
    <w:rsid w:val="005B0759"/>
    <w:rsid w:val="005B4AE5"/>
    <w:rsid w:val="005C147D"/>
    <w:rsid w:val="005C72CD"/>
    <w:rsid w:val="005D4834"/>
    <w:rsid w:val="005D4A09"/>
    <w:rsid w:val="005D7672"/>
    <w:rsid w:val="005E0360"/>
    <w:rsid w:val="005E2C96"/>
    <w:rsid w:val="005E582F"/>
    <w:rsid w:val="005F14A7"/>
    <w:rsid w:val="005F28DC"/>
    <w:rsid w:val="00605404"/>
    <w:rsid w:val="00614D48"/>
    <w:rsid w:val="006210D1"/>
    <w:rsid w:val="00621472"/>
    <w:rsid w:val="00627AAD"/>
    <w:rsid w:val="0063705D"/>
    <w:rsid w:val="00643A98"/>
    <w:rsid w:val="00651683"/>
    <w:rsid w:val="00661EDA"/>
    <w:rsid w:val="00663467"/>
    <w:rsid w:val="0067520C"/>
    <w:rsid w:val="006823D7"/>
    <w:rsid w:val="0068373E"/>
    <w:rsid w:val="006844FF"/>
    <w:rsid w:val="00687933"/>
    <w:rsid w:val="006879A9"/>
    <w:rsid w:val="006901DC"/>
    <w:rsid w:val="00692601"/>
    <w:rsid w:val="00695106"/>
    <w:rsid w:val="006A60FB"/>
    <w:rsid w:val="006B7C7D"/>
    <w:rsid w:val="006C1EE2"/>
    <w:rsid w:val="006C2B4C"/>
    <w:rsid w:val="006D0906"/>
    <w:rsid w:val="006D265F"/>
    <w:rsid w:val="006D32C1"/>
    <w:rsid w:val="006D5408"/>
    <w:rsid w:val="006D6F20"/>
    <w:rsid w:val="006E754C"/>
    <w:rsid w:val="006F1B9F"/>
    <w:rsid w:val="006F6116"/>
    <w:rsid w:val="00703459"/>
    <w:rsid w:val="007163F3"/>
    <w:rsid w:val="00737336"/>
    <w:rsid w:val="00737E69"/>
    <w:rsid w:val="00745335"/>
    <w:rsid w:val="00757FC5"/>
    <w:rsid w:val="007601F4"/>
    <w:rsid w:val="007658BF"/>
    <w:rsid w:val="0077422A"/>
    <w:rsid w:val="00780F82"/>
    <w:rsid w:val="0079431D"/>
    <w:rsid w:val="00795CB0"/>
    <w:rsid w:val="007A19E1"/>
    <w:rsid w:val="007A5E6F"/>
    <w:rsid w:val="007A7305"/>
    <w:rsid w:val="007A7646"/>
    <w:rsid w:val="007A7684"/>
    <w:rsid w:val="007B25EB"/>
    <w:rsid w:val="007B5C64"/>
    <w:rsid w:val="007C0B51"/>
    <w:rsid w:val="007C5075"/>
    <w:rsid w:val="007D1BAE"/>
    <w:rsid w:val="007D27C9"/>
    <w:rsid w:val="007E33C1"/>
    <w:rsid w:val="007E5573"/>
    <w:rsid w:val="007F0FE8"/>
    <w:rsid w:val="007F4149"/>
    <w:rsid w:val="007F4267"/>
    <w:rsid w:val="007F6030"/>
    <w:rsid w:val="00801F03"/>
    <w:rsid w:val="008044B7"/>
    <w:rsid w:val="008223B1"/>
    <w:rsid w:val="008408C8"/>
    <w:rsid w:val="00850F9C"/>
    <w:rsid w:val="00854F74"/>
    <w:rsid w:val="008561F4"/>
    <w:rsid w:val="008614F6"/>
    <w:rsid w:val="008657FC"/>
    <w:rsid w:val="0086625A"/>
    <w:rsid w:val="00866463"/>
    <w:rsid w:val="00867A44"/>
    <w:rsid w:val="00870A9A"/>
    <w:rsid w:val="008760F7"/>
    <w:rsid w:val="0087724F"/>
    <w:rsid w:val="00882E2F"/>
    <w:rsid w:val="008837B2"/>
    <w:rsid w:val="0088628C"/>
    <w:rsid w:val="0089023C"/>
    <w:rsid w:val="0089493A"/>
    <w:rsid w:val="008952A5"/>
    <w:rsid w:val="008B5749"/>
    <w:rsid w:val="008C096C"/>
    <w:rsid w:val="008C21A4"/>
    <w:rsid w:val="008C2240"/>
    <w:rsid w:val="008F01D0"/>
    <w:rsid w:val="008F0501"/>
    <w:rsid w:val="008F1DFC"/>
    <w:rsid w:val="008F2745"/>
    <w:rsid w:val="0090560E"/>
    <w:rsid w:val="009122A9"/>
    <w:rsid w:val="00913F31"/>
    <w:rsid w:val="00917E45"/>
    <w:rsid w:val="00920933"/>
    <w:rsid w:val="009279CD"/>
    <w:rsid w:val="00946206"/>
    <w:rsid w:val="00953AF9"/>
    <w:rsid w:val="00965E34"/>
    <w:rsid w:val="00984836"/>
    <w:rsid w:val="009952B4"/>
    <w:rsid w:val="009966BB"/>
    <w:rsid w:val="009C7507"/>
    <w:rsid w:val="009F1165"/>
    <w:rsid w:val="009F19C4"/>
    <w:rsid w:val="009F327E"/>
    <w:rsid w:val="009F709D"/>
    <w:rsid w:val="00A005E3"/>
    <w:rsid w:val="00A34856"/>
    <w:rsid w:val="00A55D93"/>
    <w:rsid w:val="00A62E98"/>
    <w:rsid w:val="00A72F97"/>
    <w:rsid w:val="00A843A2"/>
    <w:rsid w:val="00A851BA"/>
    <w:rsid w:val="00A85667"/>
    <w:rsid w:val="00A9141E"/>
    <w:rsid w:val="00AA11F3"/>
    <w:rsid w:val="00AB050C"/>
    <w:rsid w:val="00AB2C11"/>
    <w:rsid w:val="00AB6A12"/>
    <w:rsid w:val="00AD3F6C"/>
    <w:rsid w:val="00AE1CD7"/>
    <w:rsid w:val="00AE6DC6"/>
    <w:rsid w:val="00AE7884"/>
    <w:rsid w:val="00AF638B"/>
    <w:rsid w:val="00AF6FCB"/>
    <w:rsid w:val="00B0466E"/>
    <w:rsid w:val="00B33B45"/>
    <w:rsid w:val="00B36B98"/>
    <w:rsid w:val="00B42D51"/>
    <w:rsid w:val="00B43594"/>
    <w:rsid w:val="00B45614"/>
    <w:rsid w:val="00B456E9"/>
    <w:rsid w:val="00B61C05"/>
    <w:rsid w:val="00B660FB"/>
    <w:rsid w:val="00B70526"/>
    <w:rsid w:val="00B832BA"/>
    <w:rsid w:val="00B86254"/>
    <w:rsid w:val="00B933D5"/>
    <w:rsid w:val="00BA463A"/>
    <w:rsid w:val="00BA51EC"/>
    <w:rsid w:val="00BB61C6"/>
    <w:rsid w:val="00BC210F"/>
    <w:rsid w:val="00BC6A31"/>
    <w:rsid w:val="00BD2915"/>
    <w:rsid w:val="00BD727B"/>
    <w:rsid w:val="00BE097F"/>
    <w:rsid w:val="00BF32DD"/>
    <w:rsid w:val="00C04C6B"/>
    <w:rsid w:val="00C10875"/>
    <w:rsid w:val="00C21979"/>
    <w:rsid w:val="00C25E59"/>
    <w:rsid w:val="00C30497"/>
    <w:rsid w:val="00C43349"/>
    <w:rsid w:val="00C70726"/>
    <w:rsid w:val="00C8469E"/>
    <w:rsid w:val="00C84D60"/>
    <w:rsid w:val="00C96CB5"/>
    <w:rsid w:val="00CB36B6"/>
    <w:rsid w:val="00CB4A39"/>
    <w:rsid w:val="00CB5491"/>
    <w:rsid w:val="00CC091B"/>
    <w:rsid w:val="00CC5049"/>
    <w:rsid w:val="00CC7976"/>
    <w:rsid w:val="00CE6D28"/>
    <w:rsid w:val="00CF2A0B"/>
    <w:rsid w:val="00D035AD"/>
    <w:rsid w:val="00D03D4E"/>
    <w:rsid w:val="00D05BA9"/>
    <w:rsid w:val="00D168A3"/>
    <w:rsid w:val="00D22567"/>
    <w:rsid w:val="00D22799"/>
    <w:rsid w:val="00D3323B"/>
    <w:rsid w:val="00D337DC"/>
    <w:rsid w:val="00D33F41"/>
    <w:rsid w:val="00D3455D"/>
    <w:rsid w:val="00D61D5B"/>
    <w:rsid w:val="00D74F58"/>
    <w:rsid w:val="00D80E8B"/>
    <w:rsid w:val="00D8286D"/>
    <w:rsid w:val="00D871FD"/>
    <w:rsid w:val="00D97D05"/>
    <w:rsid w:val="00DB02EF"/>
    <w:rsid w:val="00DB35B3"/>
    <w:rsid w:val="00DB3F3A"/>
    <w:rsid w:val="00DB75D1"/>
    <w:rsid w:val="00DB76BD"/>
    <w:rsid w:val="00DB7F1A"/>
    <w:rsid w:val="00DC6490"/>
    <w:rsid w:val="00DD2013"/>
    <w:rsid w:val="00DD4D00"/>
    <w:rsid w:val="00DD562C"/>
    <w:rsid w:val="00DE4427"/>
    <w:rsid w:val="00DF5F89"/>
    <w:rsid w:val="00E015F7"/>
    <w:rsid w:val="00E030C9"/>
    <w:rsid w:val="00E13BBD"/>
    <w:rsid w:val="00E16BE6"/>
    <w:rsid w:val="00E41AC9"/>
    <w:rsid w:val="00E4386E"/>
    <w:rsid w:val="00E43954"/>
    <w:rsid w:val="00E43EA2"/>
    <w:rsid w:val="00E476FA"/>
    <w:rsid w:val="00E60932"/>
    <w:rsid w:val="00E755F1"/>
    <w:rsid w:val="00E87252"/>
    <w:rsid w:val="00E875CC"/>
    <w:rsid w:val="00EB0068"/>
    <w:rsid w:val="00EB19BC"/>
    <w:rsid w:val="00EB469B"/>
    <w:rsid w:val="00EC07A2"/>
    <w:rsid w:val="00EC0950"/>
    <w:rsid w:val="00EC20ED"/>
    <w:rsid w:val="00EC5632"/>
    <w:rsid w:val="00ED3666"/>
    <w:rsid w:val="00EE31C7"/>
    <w:rsid w:val="00EE4340"/>
    <w:rsid w:val="00EE47B9"/>
    <w:rsid w:val="00EF004C"/>
    <w:rsid w:val="00EF0257"/>
    <w:rsid w:val="00EF06B8"/>
    <w:rsid w:val="00EF2A82"/>
    <w:rsid w:val="00EF4062"/>
    <w:rsid w:val="00F177BD"/>
    <w:rsid w:val="00F23380"/>
    <w:rsid w:val="00F44E1D"/>
    <w:rsid w:val="00F458EA"/>
    <w:rsid w:val="00F60922"/>
    <w:rsid w:val="00F70EBD"/>
    <w:rsid w:val="00F82784"/>
    <w:rsid w:val="00F83D18"/>
    <w:rsid w:val="00F8755D"/>
    <w:rsid w:val="00F8772B"/>
    <w:rsid w:val="00F87B45"/>
    <w:rsid w:val="00F93548"/>
    <w:rsid w:val="00F942CF"/>
    <w:rsid w:val="00F95657"/>
    <w:rsid w:val="00FA112E"/>
    <w:rsid w:val="00FB0743"/>
    <w:rsid w:val="00FB26BF"/>
    <w:rsid w:val="00FB3DD2"/>
    <w:rsid w:val="00FC03B2"/>
    <w:rsid w:val="00FC1B37"/>
    <w:rsid w:val="00FD10FA"/>
    <w:rsid w:val="00FD1297"/>
    <w:rsid w:val="00FD1B4C"/>
    <w:rsid w:val="00FD1F9A"/>
    <w:rsid w:val="00FE0D50"/>
    <w:rsid w:val="00FE1C98"/>
    <w:rsid w:val="00FE1EF6"/>
    <w:rsid w:val="00FF3EBD"/>
    <w:rsid w:val="00FF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f"/>
    </o:shapedefaults>
    <o:shapelayout v:ext="edit">
      <o:idmap v:ext="edit" data="2"/>
    </o:shapelayout>
  </w:shapeDefaults>
  <w:decimalSymbol w:val="."/>
  <w:listSeparator w:val=","/>
  <w14:docId w14:val="6E8ABA2C"/>
  <w15:docId w15:val="{4696CC92-01CC-4490-AE4E-33FC5D49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872"/>
    <w:pPr>
      <w:spacing w:after="240"/>
    </w:pPr>
    <w:rPr>
      <w:rFonts w:ascii="Arial" w:hAnsi="Arial"/>
      <w:sz w:val="24"/>
      <w:szCs w:val="24"/>
    </w:rPr>
  </w:style>
  <w:style w:type="paragraph" w:styleId="Heading1">
    <w:name w:val="heading 1"/>
    <w:basedOn w:val="Normal"/>
    <w:next w:val="Normal"/>
    <w:link w:val="Heading1Char"/>
    <w:uiPriority w:val="1"/>
    <w:qFormat/>
    <w:rsid w:val="00253FA5"/>
    <w:pPr>
      <w:tabs>
        <w:tab w:val="left" w:pos="360"/>
      </w:tabs>
      <w:spacing w:before="240"/>
      <w:outlineLvl w:val="0"/>
    </w:pPr>
    <w:rPr>
      <w:rFonts w:eastAsia="Arial" w:cs="Arial"/>
      <w:b/>
      <w:sz w:val="32"/>
    </w:rPr>
  </w:style>
  <w:style w:type="paragraph" w:styleId="Heading2">
    <w:name w:val="heading 2"/>
    <w:basedOn w:val="Normal"/>
    <w:link w:val="Heading2Char"/>
    <w:unhideWhenUsed/>
    <w:qFormat/>
    <w:rsid w:val="00135872"/>
    <w:pPr>
      <w:keepNext/>
      <w:keepLines/>
      <w:spacing w:before="240" w:after="0"/>
      <w:outlineLvl w:val="1"/>
    </w:pPr>
    <w:rPr>
      <w:rFonts w:eastAsia="Arial" w:cs="Arial"/>
      <w:bCs/>
      <w:i/>
      <w:sz w:val="26"/>
      <w:szCs w:val="26"/>
      <w:u w:val="single"/>
    </w:rPr>
  </w:style>
  <w:style w:type="paragraph" w:styleId="Heading3">
    <w:name w:val="heading 3"/>
    <w:basedOn w:val="Normal"/>
    <w:next w:val="Normal"/>
    <w:link w:val="Heading3Char"/>
    <w:semiHidden/>
    <w:unhideWhenUsed/>
    <w:qFormat/>
    <w:rsid w:val="001358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BD72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D72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D727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D72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BD727B"/>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D727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5872"/>
    <w:pPr>
      <w:widowControl w:val="0"/>
    </w:pPr>
    <w:rPr>
      <w:rFonts w:eastAsia="Arial" w:cs="Arial"/>
    </w:rPr>
  </w:style>
  <w:style w:type="paragraph" w:styleId="ListParagraph">
    <w:name w:val="List Paragraph"/>
    <w:basedOn w:val="Normal"/>
    <w:uiPriority w:val="34"/>
    <w:qFormat/>
    <w:rsid w:val="00135872"/>
    <w:pPr>
      <w:ind w:left="720"/>
    </w:pPr>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2130EE"/>
    <w:rPr>
      <w:rFonts w:ascii="Tahoma" w:hAnsi="Tahoma" w:cs="Tahoma"/>
      <w:sz w:val="16"/>
      <w:szCs w:val="16"/>
    </w:rPr>
  </w:style>
  <w:style w:type="character" w:customStyle="1" w:styleId="BalloonTextChar">
    <w:name w:val="Balloon Text Char"/>
    <w:basedOn w:val="DefaultParagraphFont"/>
    <w:link w:val="BalloonText"/>
    <w:uiPriority w:val="99"/>
    <w:semiHidden/>
    <w:rsid w:val="002130EE"/>
    <w:rPr>
      <w:rFonts w:ascii="Tahoma" w:eastAsia="Arial" w:hAnsi="Tahoma" w:cs="Tahoma"/>
      <w:sz w:val="16"/>
      <w:szCs w:val="16"/>
    </w:rPr>
  </w:style>
  <w:style w:type="paragraph" w:styleId="Header">
    <w:name w:val="header"/>
    <w:basedOn w:val="Normal"/>
    <w:link w:val="HeaderChar"/>
    <w:unhideWhenUsed/>
    <w:rsid w:val="00C96CB5"/>
    <w:pPr>
      <w:tabs>
        <w:tab w:val="center" w:pos="4680"/>
        <w:tab w:val="right" w:pos="9360"/>
      </w:tabs>
    </w:pPr>
  </w:style>
  <w:style w:type="character" w:customStyle="1" w:styleId="HeaderChar">
    <w:name w:val="Header Char"/>
    <w:basedOn w:val="DefaultParagraphFont"/>
    <w:link w:val="Header"/>
    <w:rsid w:val="00C96CB5"/>
    <w:rPr>
      <w:rFonts w:ascii="Arial" w:eastAsia="Arial" w:hAnsi="Arial" w:cs="Arial"/>
    </w:rPr>
  </w:style>
  <w:style w:type="paragraph" w:styleId="Footer">
    <w:name w:val="footer"/>
    <w:basedOn w:val="Normal"/>
    <w:link w:val="FooterChar"/>
    <w:uiPriority w:val="99"/>
    <w:unhideWhenUsed/>
    <w:rsid w:val="00C96CB5"/>
    <w:pPr>
      <w:tabs>
        <w:tab w:val="center" w:pos="4680"/>
        <w:tab w:val="right" w:pos="9360"/>
      </w:tabs>
    </w:pPr>
  </w:style>
  <w:style w:type="character" w:customStyle="1" w:styleId="FooterChar">
    <w:name w:val="Footer Char"/>
    <w:basedOn w:val="DefaultParagraphFont"/>
    <w:link w:val="Footer"/>
    <w:uiPriority w:val="99"/>
    <w:rsid w:val="00C96CB5"/>
    <w:rPr>
      <w:rFonts w:ascii="Arial" w:eastAsia="Arial" w:hAnsi="Arial" w:cs="Arial"/>
    </w:rPr>
  </w:style>
  <w:style w:type="character" w:styleId="Hyperlink">
    <w:name w:val="Hyperlink"/>
    <w:basedOn w:val="DefaultParagraphFont"/>
    <w:uiPriority w:val="99"/>
    <w:unhideWhenUsed/>
    <w:rsid w:val="00DB3F3A"/>
    <w:rPr>
      <w:color w:val="0000FF" w:themeColor="hyperlink"/>
      <w:u w:val="single"/>
    </w:rPr>
  </w:style>
  <w:style w:type="character" w:customStyle="1" w:styleId="BodyTextChar">
    <w:name w:val="Body Text Char"/>
    <w:link w:val="BodyText"/>
    <w:uiPriority w:val="1"/>
    <w:rsid w:val="00135872"/>
    <w:rPr>
      <w:rFonts w:ascii="Arial" w:eastAsia="Arial" w:hAnsi="Arial" w:cs="Arial"/>
      <w:sz w:val="24"/>
      <w:szCs w:val="24"/>
    </w:rPr>
  </w:style>
  <w:style w:type="table" w:styleId="LightList-Accent1">
    <w:name w:val="Light List Accent 1"/>
    <w:basedOn w:val="TableNormal"/>
    <w:uiPriority w:val="61"/>
    <w:rsid w:val="00A72F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427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35872"/>
    <w:rPr>
      <w:b/>
      <w:bCs/>
    </w:rPr>
  </w:style>
  <w:style w:type="paragraph" w:styleId="PlainText">
    <w:name w:val="Plain Text"/>
    <w:basedOn w:val="Normal"/>
    <w:link w:val="PlainTextChar"/>
    <w:uiPriority w:val="99"/>
    <w:unhideWhenUsed/>
    <w:rsid w:val="00BD2915"/>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D2915"/>
    <w:rPr>
      <w:rFonts w:ascii="Calibri" w:hAnsi="Calibri"/>
      <w:szCs w:val="21"/>
    </w:rPr>
  </w:style>
  <w:style w:type="paragraph" w:styleId="FootnoteText">
    <w:name w:val="footnote text"/>
    <w:basedOn w:val="Normal"/>
    <w:link w:val="FootnoteTextChar"/>
    <w:uiPriority w:val="99"/>
    <w:semiHidden/>
    <w:unhideWhenUsed/>
    <w:rsid w:val="001163EE"/>
    <w:rPr>
      <w:sz w:val="20"/>
      <w:szCs w:val="20"/>
    </w:rPr>
  </w:style>
  <w:style w:type="character" w:customStyle="1" w:styleId="FootnoteTextChar">
    <w:name w:val="Footnote Text Char"/>
    <w:basedOn w:val="DefaultParagraphFont"/>
    <w:link w:val="FootnoteText"/>
    <w:uiPriority w:val="99"/>
    <w:semiHidden/>
    <w:rsid w:val="001163EE"/>
    <w:rPr>
      <w:rFonts w:ascii="Arial" w:eastAsia="Arial" w:hAnsi="Arial" w:cs="Arial"/>
      <w:sz w:val="20"/>
      <w:szCs w:val="20"/>
    </w:rPr>
  </w:style>
  <w:style w:type="character" w:styleId="FootnoteReference">
    <w:name w:val="footnote reference"/>
    <w:basedOn w:val="DefaultParagraphFont"/>
    <w:uiPriority w:val="99"/>
    <w:semiHidden/>
    <w:unhideWhenUsed/>
    <w:rsid w:val="001163EE"/>
    <w:rPr>
      <w:vertAlign w:val="superscript"/>
    </w:rPr>
  </w:style>
  <w:style w:type="paragraph" w:customStyle="1" w:styleId="FieldInstructions">
    <w:name w:val="Field Instructions"/>
    <w:basedOn w:val="Normal"/>
    <w:link w:val="FieldInstructionsChar"/>
    <w:qFormat/>
    <w:rsid w:val="00135872"/>
    <w:pPr>
      <w:contextualSpacing/>
    </w:pPr>
    <w:rPr>
      <w:rFonts w:cs="Arial"/>
      <w:i/>
    </w:rPr>
  </w:style>
  <w:style w:type="character" w:customStyle="1" w:styleId="FieldInstructionsChar">
    <w:name w:val="Field Instructions Char"/>
    <w:basedOn w:val="DefaultParagraphFont"/>
    <w:link w:val="FieldInstructions"/>
    <w:rsid w:val="00135872"/>
    <w:rPr>
      <w:rFonts w:ascii="Arial" w:hAnsi="Arial" w:cs="Arial"/>
      <w:i/>
      <w:sz w:val="24"/>
      <w:szCs w:val="24"/>
    </w:rPr>
  </w:style>
  <w:style w:type="character" w:customStyle="1" w:styleId="Heading1Char">
    <w:name w:val="Heading 1 Char"/>
    <w:basedOn w:val="DefaultParagraphFont"/>
    <w:link w:val="Heading1"/>
    <w:rsid w:val="00253FA5"/>
    <w:rPr>
      <w:rFonts w:ascii="Arial" w:eastAsia="Arial" w:hAnsi="Arial" w:cs="Arial"/>
      <w:b/>
      <w:sz w:val="32"/>
      <w:szCs w:val="24"/>
    </w:rPr>
  </w:style>
  <w:style w:type="paragraph" w:styleId="Title">
    <w:name w:val="Title"/>
    <w:basedOn w:val="Normal"/>
    <w:next w:val="Normal"/>
    <w:link w:val="TitleChar"/>
    <w:qFormat/>
    <w:rsid w:val="00135872"/>
    <w:pPr>
      <w:tabs>
        <w:tab w:val="left" w:pos="360"/>
      </w:tabs>
      <w:jc w:val="center"/>
    </w:pPr>
    <w:rPr>
      <w:rFonts w:eastAsiaTheme="majorEastAsia" w:cs="Arial"/>
      <w:b/>
      <w:caps/>
    </w:rPr>
  </w:style>
  <w:style w:type="character" w:customStyle="1" w:styleId="TitleChar">
    <w:name w:val="Title Char"/>
    <w:basedOn w:val="DefaultParagraphFont"/>
    <w:link w:val="Title"/>
    <w:rsid w:val="00135872"/>
    <w:rPr>
      <w:rFonts w:ascii="Arial" w:eastAsiaTheme="majorEastAsia" w:hAnsi="Arial" w:cs="Arial"/>
      <w:b/>
      <w:caps/>
      <w:sz w:val="24"/>
      <w:szCs w:val="24"/>
    </w:rPr>
  </w:style>
  <w:style w:type="character" w:styleId="CommentReference">
    <w:name w:val="annotation reference"/>
    <w:basedOn w:val="DefaultParagraphFont"/>
    <w:uiPriority w:val="99"/>
    <w:semiHidden/>
    <w:unhideWhenUsed/>
    <w:rsid w:val="00BD727B"/>
    <w:rPr>
      <w:sz w:val="16"/>
      <w:szCs w:val="16"/>
    </w:rPr>
  </w:style>
  <w:style w:type="paragraph" w:styleId="CommentText">
    <w:name w:val="annotation text"/>
    <w:basedOn w:val="Normal"/>
    <w:link w:val="CommentTextChar"/>
    <w:uiPriority w:val="99"/>
    <w:unhideWhenUsed/>
    <w:rsid w:val="00BD727B"/>
    <w:rPr>
      <w:sz w:val="20"/>
      <w:szCs w:val="20"/>
    </w:rPr>
  </w:style>
  <w:style w:type="character" w:customStyle="1" w:styleId="CommentTextChar">
    <w:name w:val="Comment Text Char"/>
    <w:basedOn w:val="DefaultParagraphFont"/>
    <w:link w:val="CommentText"/>
    <w:uiPriority w:val="99"/>
    <w:rsid w:val="00BD727B"/>
    <w:rPr>
      <w:rFonts w:ascii="Arial" w:hAnsi="Arial"/>
    </w:rPr>
  </w:style>
  <w:style w:type="character" w:customStyle="1" w:styleId="Heading2Char">
    <w:name w:val="Heading 2 Char"/>
    <w:basedOn w:val="DefaultParagraphFont"/>
    <w:link w:val="Heading2"/>
    <w:semiHidden/>
    <w:rsid w:val="00BD727B"/>
    <w:rPr>
      <w:rFonts w:ascii="Arial" w:eastAsia="Arial" w:hAnsi="Arial" w:cs="Arial"/>
      <w:bCs/>
      <w:i/>
      <w:sz w:val="26"/>
      <w:szCs w:val="26"/>
      <w:u w:val="single"/>
    </w:rPr>
  </w:style>
  <w:style w:type="character" w:customStyle="1" w:styleId="Heading3Char">
    <w:name w:val="Heading 3 Char"/>
    <w:basedOn w:val="DefaultParagraphFont"/>
    <w:link w:val="Heading3"/>
    <w:semiHidden/>
    <w:rsid w:val="0013587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BD727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BD727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BD727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BD727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BD727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BD727B"/>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BD727B"/>
    <w:pPr>
      <w:spacing w:after="200"/>
    </w:pPr>
    <w:rPr>
      <w:rFonts w:eastAsiaTheme="minorEastAsia"/>
      <w:b/>
      <w:bCs/>
      <w:color w:val="4F81BD" w:themeColor="accent1"/>
      <w:sz w:val="18"/>
      <w:szCs w:val="18"/>
    </w:rPr>
  </w:style>
  <w:style w:type="paragraph" w:styleId="Subtitle">
    <w:name w:val="Subtitle"/>
    <w:basedOn w:val="Normal"/>
    <w:next w:val="Normal"/>
    <w:link w:val="SubtitleChar"/>
    <w:qFormat/>
    <w:rsid w:val="001358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35872"/>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qFormat/>
    <w:rsid w:val="00BD727B"/>
    <w:rPr>
      <w:i/>
      <w:iCs/>
    </w:rPr>
  </w:style>
  <w:style w:type="paragraph" w:styleId="NoSpacing">
    <w:name w:val="No Spacing"/>
    <w:link w:val="NoSpacingChar"/>
    <w:uiPriority w:val="1"/>
    <w:qFormat/>
    <w:rsid w:val="00BD727B"/>
    <w:rPr>
      <w:rFonts w:ascii="Arial" w:hAnsi="Arial"/>
      <w:sz w:val="24"/>
      <w:szCs w:val="24"/>
    </w:rPr>
  </w:style>
  <w:style w:type="character" w:customStyle="1" w:styleId="NoSpacingChar">
    <w:name w:val="No Spacing Char"/>
    <w:basedOn w:val="DefaultParagraphFont"/>
    <w:link w:val="NoSpacing"/>
    <w:uiPriority w:val="1"/>
    <w:rsid w:val="00BD727B"/>
    <w:rPr>
      <w:rFonts w:ascii="Arial" w:hAnsi="Arial"/>
      <w:sz w:val="24"/>
      <w:szCs w:val="24"/>
    </w:rPr>
  </w:style>
  <w:style w:type="paragraph" w:styleId="Quote">
    <w:name w:val="Quote"/>
    <w:basedOn w:val="Normal"/>
    <w:next w:val="Normal"/>
    <w:link w:val="QuoteChar"/>
    <w:uiPriority w:val="29"/>
    <w:qFormat/>
    <w:rsid w:val="00BD727B"/>
    <w:rPr>
      <w:rFonts w:eastAsiaTheme="minorEastAsia"/>
      <w:i/>
      <w:iCs/>
      <w:color w:val="000000" w:themeColor="text1"/>
    </w:rPr>
  </w:style>
  <w:style w:type="character" w:customStyle="1" w:styleId="QuoteChar">
    <w:name w:val="Quote Char"/>
    <w:basedOn w:val="DefaultParagraphFont"/>
    <w:link w:val="Quote"/>
    <w:uiPriority w:val="29"/>
    <w:rsid w:val="00BD727B"/>
    <w:rPr>
      <w:rFonts w:ascii="Arial" w:eastAsiaTheme="minorEastAsia" w:hAnsi="Arial"/>
      <w:i/>
      <w:iCs/>
      <w:color w:val="000000" w:themeColor="text1"/>
      <w:sz w:val="24"/>
      <w:szCs w:val="24"/>
    </w:rPr>
  </w:style>
  <w:style w:type="paragraph" w:styleId="IntenseQuote">
    <w:name w:val="Intense Quote"/>
    <w:basedOn w:val="Normal"/>
    <w:next w:val="Normal"/>
    <w:link w:val="IntenseQuoteChar"/>
    <w:uiPriority w:val="30"/>
    <w:qFormat/>
    <w:rsid w:val="00BD727B"/>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IntenseQuoteChar">
    <w:name w:val="Intense Quote Char"/>
    <w:basedOn w:val="DefaultParagraphFont"/>
    <w:link w:val="IntenseQuote"/>
    <w:uiPriority w:val="30"/>
    <w:rsid w:val="00BD727B"/>
    <w:rPr>
      <w:rFonts w:ascii="Arial" w:eastAsiaTheme="minorEastAsia" w:hAnsi="Arial"/>
      <w:b/>
      <w:bCs/>
      <w:i/>
      <w:iCs/>
      <w:color w:val="4F81BD" w:themeColor="accent1"/>
      <w:sz w:val="24"/>
      <w:szCs w:val="24"/>
    </w:rPr>
  </w:style>
  <w:style w:type="character" w:styleId="SubtleEmphasis">
    <w:name w:val="Subtle Emphasis"/>
    <w:basedOn w:val="DefaultParagraphFont"/>
    <w:uiPriority w:val="19"/>
    <w:qFormat/>
    <w:rsid w:val="00BD727B"/>
    <w:rPr>
      <w:i/>
      <w:iCs/>
      <w:color w:val="808080" w:themeColor="text1" w:themeTint="7F"/>
    </w:rPr>
  </w:style>
  <w:style w:type="character" w:styleId="IntenseEmphasis">
    <w:name w:val="Intense Emphasis"/>
    <w:basedOn w:val="DefaultParagraphFont"/>
    <w:uiPriority w:val="21"/>
    <w:qFormat/>
    <w:rsid w:val="00BD727B"/>
    <w:rPr>
      <w:b/>
      <w:bCs/>
      <w:i/>
      <w:iCs/>
      <w:color w:val="4F81BD" w:themeColor="accent1"/>
    </w:rPr>
  </w:style>
  <w:style w:type="character" w:styleId="SubtleReference">
    <w:name w:val="Subtle Reference"/>
    <w:basedOn w:val="DefaultParagraphFont"/>
    <w:uiPriority w:val="31"/>
    <w:qFormat/>
    <w:rsid w:val="00BD727B"/>
    <w:rPr>
      <w:smallCaps/>
      <w:color w:val="C0504D" w:themeColor="accent2"/>
      <w:u w:val="single"/>
    </w:rPr>
  </w:style>
  <w:style w:type="character" w:styleId="IntenseReference">
    <w:name w:val="Intense Reference"/>
    <w:basedOn w:val="DefaultParagraphFont"/>
    <w:uiPriority w:val="32"/>
    <w:qFormat/>
    <w:rsid w:val="00BD727B"/>
    <w:rPr>
      <w:b/>
      <w:bCs/>
      <w:smallCaps/>
      <w:color w:val="C0504D" w:themeColor="accent2"/>
      <w:spacing w:val="5"/>
      <w:u w:val="single"/>
    </w:rPr>
  </w:style>
  <w:style w:type="character" w:styleId="BookTitle">
    <w:name w:val="Book Title"/>
    <w:basedOn w:val="DefaultParagraphFont"/>
    <w:uiPriority w:val="33"/>
    <w:qFormat/>
    <w:rsid w:val="00BD727B"/>
    <w:rPr>
      <w:b/>
      <w:bCs/>
      <w:smallCaps/>
      <w:spacing w:val="5"/>
    </w:rPr>
  </w:style>
  <w:style w:type="paragraph" w:styleId="TOCHeading">
    <w:name w:val="TOC Heading"/>
    <w:basedOn w:val="Heading1"/>
    <w:next w:val="Normal"/>
    <w:uiPriority w:val="39"/>
    <w:unhideWhenUsed/>
    <w:qFormat/>
    <w:rsid w:val="00BD727B"/>
    <w:pPr>
      <w:keepNext/>
      <w:keepLines/>
      <w:tabs>
        <w:tab w:val="clear" w:pos="360"/>
      </w:tabs>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TableText">
    <w:name w:val="Table Text"/>
    <w:basedOn w:val="Normal"/>
    <w:link w:val="TableTextChar"/>
    <w:qFormat/>
    <w:rsid w:val="00135872"/>
    <w:pPr>
      <w:spacing w:after="120"/>
      <w:jc w:val="center"/>
    </w:pPr>
  </w:style>
  <w:style w:type="character" w:customStyle="1" w:styleId="TableTextChar">
    <w:name w:val="Table Text Char"/>
    <w:basedOn w:val="DefaultParagraphFont"/>
    <w:link w:val="TableText"/>
    <w:rsid w:val="0013587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D74F58"/>
    <w:rPr>
      <w:b/>
      <w:bCs/>
    </w:rPr>
  </w:style>
  <w:style w:type="character" w:customStyle="1" w:styleId="CommentSubjectChar">
    <w:name w:val="Comment Subject Char"/>
    <w:basedOn w:val="CommentTextChar"/>
    <w:link w:val="CommentSubject"/>
    <w:uiPriority w:val="99"/>
    <w:semiHidden/>
    <w:rsid w:val="00D74F58"/>
    <w:rPr>
      <w:rFonts w:ascii="Arial" w:hAnsi="Arial"/>
      <w:b/>
      <w:bCs/>
    </w:rPr>
  </w:style>
  <w:style w:type="character" w:styleId="FollowedHyperlink">
    <w:name w:val="FollowedHyperlink"/>
    <w:basedOn w:val="DefaultParagraphFont"/>
    <w:uiPriority w:val="99"/>
    <w:semiHidden/>
    <w:unhideWhenUsed/>
    <w:rsid w:val="00FE0D50"/>
    <w:rPr>
      <w:color w:val="800080" w:themeColor="followedHyperlink"/>
      <w:u w:val="single"/>
    </w:rPr>
  </w:style>
  <w:style w:type="paragraph" w:styleId="Revision">
    <w:name w:val="Revision"/>
    <w:hidden/>
    <w:uiPriority w:val="99"/>
    <w:semiHidden/>
    <w:rsid w:val="008C2240"/>
    <w:rPr>
      <w:rFonts w:ascii="Arial" w:hAnsi="Arial"/>
      <w:sz w:val="24"/>
      <w:szCs w:val="24"/>
    </w:rPr>
  </w:style>
  <w:style w:type="character" w:customStyle="1" w:styleId="heading">
    <w:name w:val="heading"/>
    <w:basedOn w:val="DefaultParagraphFont"/>
    <w:rsid w:val="00FE1C98"/>
  </w:style>
  <w:style w:type="paragraph" w:styleId="TOC1">
    <w:name w:val="toc 1"/>
    <w:basedOn w:val="Normal"/>
    <w:next w:val="Normal"/>
    <w:autoRedefine/>
    <w:uiPriority w:val="39"/>
    <w:unhideWhenUsed/>
    <w:rsid w:val="002D51A3"/>
    <w:pPr>
      <w:spacing w:after="100"/>
    </w:pPr>
  </w:style>
  <w:style w:type="paragraph" w:styleId="TOC2">
    <w:name w:val="toc 2"/>
    <w:basedOn w:val="Normal"/>
    <w:next w:val="Normal"/>
    <w:autoRedefine/>
    <w:uiPriority w:val="39"/>
    <w:unhideWhenUsed/>
    <w:rsid w:val="002D51A3"/>
    <w:pPr>
      <w:spacing w:after="100"/>
      <w:ind w:left="240"/>
    </w:pPr>
  </w:style>
  <w:style w:type="character" w:styleId="UnresolvedMention">
    <w:name w:val="Unresolved Mention"/>
    <w:basedOn w:val="DefaultParagraphFont"/>
    <w:uiPriority w:val="99"/>
    <w:semiHidden/>
    <w:unhideWhenUsed/>
    <w:rsid w:val="00A9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698932">
      <w:bodyDiv w:val="1"/>
      <w:marLeft w:val="0"/>
      <w:marRight w:val="0"/>
      <w:marTop w:val="0"/>
      <w:marBottom w:val="0"/>
      <w:divBdr>
        <w:top w:val="none" w:sz="0" w:space="0" w:color="auto"/>
        <w:left w:val="none" w:sz="0" w:space="0" w:color="auto"/>
        <w:bottom w:val="none" w:sz="0" w:space="0" w:color="auto"/>
        <w:right w:val="none" w:sz="0" w:space="0" w:color="auto"/>
      </w:divBdr>
    </w:div>
    <w:div w:id="416707570">
      <w:bodyDiv w:val="1"/>
      <w:marLeft w:val="0"/>
      <w:marRight w:val="0"/>
      <w:marTop w:val="0"/>
      <w:marBottom w:val="0"/>
      <w:divBdr>
        <w:top w:val="none" w:sz="0" w:space="0" w:color="auto"/>
        <w:left w:val="none" w:sz="0" w:space="0" w:color="auto"/>
        <w:bottom w:val="none" w:sz="0" w:space="0" w:color="auto"/>
        <w:right w:val="none" w:sz="0" w:space="0" w:color="auto"/>
      </w:divBdr>
    </w:div>
    <w:div w:id="841507690">
      <w:bodyDiv w:val="1"/>
      <w:marLeft w:val="0"/>
      <w:marRight w:val="0"/>
      <w:marTop w:val="0"/>
      <w:marBottom w:val="0"/>
      <w:divBdr>
        <w:top w:val="none" w:sz="0" w:space="0" w:color="auto"/>
        <w:left w:val="none" w:sz="0" w:space="0" w:color="auto"/>
        <w:bottom w:val="none" w:sz="0" w:space="0" w:color="auto"/>
        <w:right w:val="none" w:sz="0" w:space="0" w:color="auto"/>
      </w:divBdr>
    </w:div>
    <w:div w:id="903443891">
      <w:bodyDiv w:val="1"/>
      <w:marLeft w:val="0"/>
      <w:marRight w:val="0"/>
      <w:marTop w:val="0"/>
      <w:marBottom w:val="0"/>
      <w:divBdr>
        <w:top w:val="none" w:sz="0" w:space="0" w:color="auto"/>
        <w:left w:val="none" w:sz="0" w:space="0" w:color="auto"/>
        <w:bottom w:val="none" w:sz="0" w:space="0" w:color="auto"/>
        <w:right w:val="none" w:sz="0" w:space="0" w:color="auto"/>
      </w:divBdr>
      <w:divsChild>
        <w:div w:id="148601664">
          <w:marLeft w:val="1166"/>
          <w:marRight w:val="0"/>
          <w:marTop w:val="115"/>
          <w:marBottom w:val="0"/>
          <w:divBdr>
            <w:top w:val="none" w:sz="0" w:space="0" w:color="auto"/>
            <w:left w:val="none" w:sz="0" w:space="0" w:color="auto"/>
            <w:bottom w:val="none" w:sz="0" w:space="0" w:color="auto"/>
            <w:right w:val="none" w:sz="0" w:space="0" w:color="auto"/>
          </w:divBdr>
        </w:div>
        <w:div w:id="777456679">
          <w:marLeft w:val="1166"/>
          <w:marRight w:val="0"/>
          <w:marTop w:val="115"/>
          <w:marBottom w:val="0"/>
          <w:divBdr>
            <w:top w:val="none" w:sz="0" w:space="0" w:color="auto"/>
            <w:left w:val="none" w:sz="0" w:space="0" w:color="auto"/>
            <w:bottom w:val="none" w:sz="0" w:space="0" w:color="auto"/>
            <w:right w:val="none" w:sz="0" w:space="0" w:color="auto"/>
          </w:divBdr>
        </w:div>
        <w:div w:id="845939638">
          <w:marLeft w:val="1166"/>
          <w:marRight w:val="0"/>
          <w:marTop w:val="115"/>
          <w:marBottom w:val="0"/>
          <w:divBdr>
            <w:top w:val="none" w:sz="0" w:space="0" w:color="auto"/>
            <w:left w:val="none" w:sz="0" w:space="0" w:color="auto"/>
            <w:bottom w:val="none" w:sz="0" w:space="0" w:color="auto"/>
            <w:right w:val="none" w:sz="0" w:space="0" w:color="auto"/>
          </w:divBdr>
        </w:div>
        <w:div w:id="1677884214">
          <w:marLeft w:val="1166"/>
          <w:marRight w:val="0"/>
          <w:marTop w:val="115"/>
          <w:marBottom w:val="0"/>
          <w:divBdr>
            <w:top w:val="none" w:sz="0" w:space="0" w:color="auto"/>
            <w:left w:val="none" w:sz="0" w:space="0" w:color="auto"/>
            <w:bottom w:val="none" w:sz="0" w:space="0" w:color="auto"/>
            <w:right w:val="none" w:sz="0" w:space="0" w:color="auto"/>
          </w:divBdr>
        </w:div>
      </w:divsChild>
    </w:div>
    <w:div w:id="987051145">
      <w:bodyDiv w:val="1"/>
      <w:marLeft w:val="0"/>
      <w:marRight w:val="0"/>
      <w:marTop w:val="0"/>
      <w:marBottom w:val="0"/>
      <w:divBdr>
        <w:top w:val="none" w:sz="0" w:space="0" w:color="auto"/>
        <w:left w:val="none" w:sz="0" w:space="0" w:color="auto"/>
        <w:bottom w:val="none" w:sz="0" w:space="0" w:color="auto"/>
        <w:right w:val="none" w:sz="0" w:space="0" w:color="auto"/>
      </w:divBdr>
    </w:div>
    <w:div w:id="1006325134">
      <w:bodyDiv w:val="1"/>
      <w:marLeft w:val="0"/>
      <w:marRight w:val="0"/>
      <w:marTop w:val="0"/>
      <w:marBottom w:val="0"/>
      <w:divBdr>
        <w:top w:val="none" w:sz="0" w:space="0" w:color="auto"/>
        <w:left w:val="none" w:sz="0" w:space="0" w:color="auto"/>
        <w:bottom w:val="none" w:sz="0" w:space="0" w:color="auto"/>
        <w:right w:val="none" w:sz="0" w:space="0" w:color="auto"/>
      </w:divBdr>
    </w:div>
    <w:div w:id="1082144145">
      <w:bodyDiv w:val="1"/>
      <w:marLeft w:val="0"/>
      <w:marRight w:val="0"/>
      <w:marTop w:val="0"/>
      <w:marBottom w:val="0"/>
      <w:divBdr>
        <w:top w:val="none" w:sz="0" w:space="0" w:color="auto"/>
        <w:left w:val="none" w:sz="0" w:space="0" w:color="auto"/>
        <w:bottom w:val="none" w:sz="0" w:space="0" w:color="auto"/>
        <w:right w:val="none" w:sz="0" w:space="0" w:color="auto"/>
      </w:divBdr>
      <w:divsChild>
        <w:div w:id="398098085">
          <w:marLeft w:val="1080"/>
          <w:marRight w:val="0"/>
          <w:marTop w:val="100"/>
          <w:marBottom w:val="120"/>
          <w:divBdr>
            <w:top w:val="none" w:sz="0" w:space="0" w:color="auto"/>
            <w:left w:val="none" w:sz="0" w:space="0" w:color="auto"/>
            <w:bottom w:val="none" w:sz="0" w:space="0" w:color="auto"/>
            <w:right w:val="none" w:sz="0" w:space="0" w:color="auto"/>
          </w:divBdr>
        </w:div>
      </w:divsChild>
    </w:div>
    <w:div w:id="1156991295">
      <w:bodyDiv w:val="1"/>
      <w:marLeft w:val="0"/>
      <w:marRight w:val="0"/>
      <w:marTop w:val="0"/>
      <w:marBottom w:val="0"/>
      <w:divBdr>
        <w:top w:val="none" w:sz="0" w:space="0" w:color="auto"/>
        <w:left w:val="none" w:sz="0" w:space="0" w:color="auto"/>
        <w:bottom w:val="none" w:sz="0" w:space="0" w:color="auto"/>
        <w:right w:val="none" w:sz="0" w:space="0" w:color="auto"/>
      </w:divBdr>
    </w:div>
    <w:div w:id="1354263683">
      <w:bodyDiv w:val="1"/>
      <w:marLeft w:val="0"/>
      <w:marRight w:val="0"/>
      <w:marTop w:val="0"/>
      <w:marBottom w:val="0"/>
      <w:divBdr>
        <w:top w:val="none" w:sz="0" w:space="0" w:color="auto"/>
        <w:left w:val="none" w:sz="0" w:space="0" w:color="auto"/>
        <w:bottom w:val="none" w:sz="0" w:space="0" w:color="auto"/>
        <w:right w:val="none" w:sz="0" w:space="0" w:color="auto"/>
      </w:divBdr>
    </w:div>
    <w:div w:id="1735079983">
      <w:bodyDiv w:val="1"/>
      <w:marLeft w:val="0"/>
      <w:marRight w:val="0"/>
      <w:marTop w:val="0"/>
      <w:marBottom w:val="0"/>
      <w:divBdr>
        <w:top w:val="none" w:sz="0" w:space="0" w:color="auto"/>
        <w:left w:val="none" w:sz="0" w:space="0" w:color="auto"/>
        <w:bottom w:val="none" w:sz="0" w:space="0" w:color="auto"/>
        <w:right w:val="none" w:sz="0" w:space="0" w:color="auto"/>
      </w:divBdr>
      <w:divsChild>
        <w:div w:id="901717393">
          <w:marLeft w:val="547"/>
          <w:marRight w:val="0"/>
          <w:marTop w:val="0"/>
          <w:marBottom w:val="0"/>
          <w:divBdr>
            <w:top w:val="none" w:sz="0" w:space="0" w:color="auto"/>
            <w:left w:val="none" w:sz="0" w:space="0" w:color="auto"/>
            <w:bottom w:val="none" w:sz="0" w:space="0" w:color="auto"/>
            <w:right w:val="none" w:sz="0" w:space="0" w:color="auto"/>
          </w:divBdr>
        </w:div>
      </w:divsChild>
    </w:div>
    <w:div w:id="1973710645">
      <w:bodyDiv w:val="1"/>
      <w:marLeft w:val="0"/>
      <w:marRight w:val="0"/>
      <w:marTop w:val="0"/>
      <w:marBottom w:val="0"/>
      <w:divBdr>
        <w:top w:val="none" w:sz="0" w:space="0" w:color="auto"/>
        <w:left w:val="none" w:sz="0" w:space="0" w:color="auto"/>
        <w:bottom w:val="none" w:sz="0" w:space="0" w:color="auto"/>
        <w:right w:val="none" w:sz="0" w:space="0" w:color="auto"/>
      </w:divBdr>
    </w:div>
    <w:div w:id="2061391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24/subtitle-B/chapter-V/subchapter-C/part-570?toc=1" TargetMode="External"/><Relationship Id="rId18" Type="http://schemas.openxmlformats.org/officeDocument/2006/relationships/header" Target="header2.xml"/><Relationship Id="rId26" Type="http://schemas.openxmlformats.org/officeDocument/2006/relationships/hyperlink" Target="mailto:Akio.Lopez@fresno.gov" TargetMode="External"/><Relationship Id="rId3" Type="http://schemas.openxmlformats.org/officeDocument/2006/relationships/styles" Target="styles.xml"/><Relationship Id="rId21" Type="http://schemas.openxmlformats.org/officeDocument/2006/relationships/hyperlink" Target="https://www.ecfr.gov/cgi-bin/text-idx?tpl=/ecfrbrowse/Title24/24cfr570_main_02.tpl" TargetMode="External"/><Relationship Id="rId7" Type="http://schemas.openxmlformats.org/officeDocument/2006/relationships/endnotes" Target="endnotes.xml"/><Relationship Id="rId12" Type="http://schemas.openxmlformats.org/officeDocument/2006/relationships/hyperlink" Target="mailto:HCDD@fresno.gov" TargetMode="External"/><Relationship Id="rId17" Type="http://schemas.openxmlformats.org/officeDocument/2006/relationships/footer" Target="footer1.xml"/><Relationship Id="rId25" Type="http://schemas.openxmlformats.org/officeDocument/2006/relationships/hyperlink" Target="mailto:Kimberly.Archie@fresno.gov"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sam.gov/content/duns-ue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berly.Archie@fresno.gov" TargetMode="External"/><Relationship Id="rId24" Type="http://schemas.openxmlformats.org/officeDocument/2006/relationships/hyperlink" Target="http://www.fresno.gov/housing" TargetMode="External"/><Relationship Id="rId5" Type="http://schemas.openxmlformats.org/officeDocument/2006/relationships/webSettings" Target="webSettings.xml"/><Relationship Id="rId15" Type="http://schemas.openxmlformats.org/officeDocument/2006/relationships/hyperlink" Target="https://www.ecfr.gov/current/title-2/section-200.331" TargetMode="External"/><Relationship Id="rId23" Type="http://schemas.openxmlformats.org/officeDocument/2006/relationships/hyperlink" Target="https://www.hudexchange.info/trainings/financial-management-curriculum/" TargetMode="External"/><Relationship Id="rId28" Type="http://schemas.openxmlformats.org/officeDocument/2006/relationships/hyperlink" Target="https://www.hudexchange.info/resource/5334/cdbg-income-limits/" TargetMode="External"/><Relationship Id="rId10" Type="http://schemas.openxmlformats.org/officeDocument/2006/relationships/hyperlink" Target="mailto:HCDD@fresno.gov" TargetMode="External"/><Relationship Id="rId19" Type="http://schemas.openxmlformats.org/officeDocument/2006/relationships/hyperlink" Target="https://sam.gov/content/duns-uei" TargetMode="External"/><Relationship Id="rId4" Type="http://schemas.openxmlformats.org/officeDocument/2006/relationships/settings" Target="settings.xml"/><Relationship Id="rId9" Type="http://schemas.openxmlformats.org/officeDocument/2006/relationships/hyperlink" Target="mailto:HCDD@fresno.gov" TargetMode="External"/><Relationship Id="rId14" Type="http://schemas.openxmlformats.org/officeDocument/2006/relationships/hyperlink" Target="https://www.ecfr.gov/current/title-2/subtitle-A/chapter-II/part-200?toc=1" TargetMode="External"/><Relationship Id="rId22" Type="http://schemas.openxmlformats.org/officeDocument/2006/relationships/hyperlink" Target="https://www.govinfo.gov/content/pkg/CFR-2014-title2-vol1/pdf/CFR-2014-title2-vol1-part200.pdf" TargetMode="External"/><Relationship Id="rId27" Type="http://schemas.openxmlformats.org/officeDocument/2006/relationships/hyperlink" Target="mailto:HCDD@fresno.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3430-26F5-438D-85A5-73406B4D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FY 2020 CDBG RFP Handbook</vt:lpstr>
    </vt:vector>
  </TitlesOfParts>
  <Company>City of Fresno</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CDBG RFP Handbook</dc:title>
  <dc:subject/>
  <dc:creator>City of San Diego</dc:creator>
  <cp:keywords/>
  <dc:description/>
  <cp:lastModifiedBy>Vanessa Navarro</cp:lastModifiedBy>
  <cp:revision>14</cp:revision>
  <cp:lastPrinted>2019-01-18T18:06:00Z</cp:lastPrinted>
  <dcterms:created xsi:type="dcterms:W3CDTF">2026-03-23T21:04:00Z</dcterms:created>
  <dcterms:modified xsi:type="dcterms:W3CDTF">2026-04-03T21:24:00Z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Acrobat Pro DC 15.6.30172</vt:lpwstr>
  </property>
  <property fmtid="{D5CDD505-2E9C-101B-9397-08002B2CF9AE}" pid="4" name="LastSaved">
    <vt:filetime>2019-01-07T00:00:00Z</vt:filetime>
  </property>
</Properties>
</file>