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0551CAFB" w14:textId="77777777" w:rsidR="00123605" w:rsidRDefault="00813C5F" w:rsidP="00123605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123605" w:rsidRPr="007C6904">
        <w:rPr>
          <w:rFonts w:ascii="Arial" w:hAnsi="Arial" w:cs="Arial"/>
          <w:b/>
          <w:bCs/>
        </w:rPr>
        <w:t>EN</w:t>
      </w:r>
      <w:r w:rsidR="00123605">
        <w:rPr>
          <w:rFonts w:ascii="Arial" w:hAnsi="Arial" w:cs="Arial"/>
          <w:b/>
          <w:bCs/>
        </w:rPr>
        <w:t xml:space="preserve">VIRONMENTAL ASSESSMENT FOR </w:t>
      </w:r>
    </w:p>
    <w:p w14:paraId="66317CC2" w14:textId="2DE4B223" w:rsidR="00813C5F" w:rsidRPr="007C6904" w:rsidRDefault="00123605" w:rsidP="00123605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5D754AA8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CE24BD">
        <w:rPr>
          <w:rFonts w:ascii="Arial" w:hAnsi="Arial" w:cs="Arial"/>
          <w:bCs/>
          <w:highlight w:val="yellow"/>
        </w:rPr>
        <w:t xml:space="preserve"> between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F264616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123605" w:rsidRPr="00187C6F">
        <w:rPr>
          <w:rFonts w:ascii="Arial" w:eastAsia="Arial" w:hAnsi="Arial"/>
          <w:color w:val="000000"/>
          <w:highlight w:val="yellow"/>
        </w:rPr>
        <w:t>Development Permit</w:t>
      </w:r>
      <w:r w:rsidR="00123605">
        <w:rPr>
          <w:rFonts w:ascii="Arial" w:eastAsia="Arial" w:hAnsi="Arial"/>
          <w:color w:val="000000"/>
        </w:rPr>
        <w:t xml:space="preserve"> Application No. </w:t>
      </w:r>
      <w:r w:rsidR="00123605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4BBC4A6F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F76A83">
        <w:rPr>
          <w:rFonts w:ascii="Arial" w:hAnsi="Arial" w:cs="Arial"/>
          <w:b/>
          <w:bCs/>
        </w:rPr>
        <w:t>2</w:t>
      </w:r>
      <w:r w:rsidR="00F51482">
        <w:rPr>
          <w:rFonts w:ascii="Arial" w:hAnsi="Arial" w:cs="Arial"/>
          <w:b/>
          <w:bCs/>
        </w:rPr>
        <w:t>5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F76A83">
        <w:rPr>
          <w:rFonts w:ascii="Arial" w:hAnsi="Arial" w:cs="Arial"/>
          <w:b/>
          <w:bCs/>
        </w:rPr>
        <w:t>2</w:t>
      </w:r>
      <w:r w:rsidR="00F51482">
        <w:rPr>
          <w:rFonts w:ascii="Arial" w:hAnsi="Arial" w:cs="Arial"/>
          <w:b/>
          <w:bCs/>
        </w:rPr>
        <w:t>5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71745B7E" w14:textId="2B97241B" w:rsidR="005976D2" w:rsidRPr="00485EEF" w:rsidRDefault="0001166E" w:rsidP="00485EE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</w:t>
      </w:r>
      <w:r w:rsidR="003243BD">
        <w:rPr>
          <w:rFonts w:ascii="Arial" w:hAnsi="Arial" w:cs="Arial"/>
        </w:rPr>
        <w:t>2</w:t>
      </w:r>
      <w:r w:rsidR="00480519">
        <w:rPr>
          <w:rFonts w:ascii="Arial" w:hAnsi="Arial" w:cs="Arial"/>
        </w:rPr>
        <w:t>5</w:t>
      </w:r>
      <w:r w:rsidR="007812A9">
        <w:rPr>
          <w:rFonts w:ascii="Arial" w:hAnsi="Arial" w:cs="Arial"/>
        </w:rPr>
        <w:t xml:space="preserve">/Class </w:t>
      </w:r>
      <w:r w:rsidR="002671D9">
        <w:rPr>
          <w:rFonts w:ascii="Arial" w:hAnsi="Arial" w:cs="Arial"/>
        </w:rPr>
        <w:t>2</w:t>
      </w:r>
      <w:r w:rsidR="00480519">
        <w:rPr>
          <w:rFonts w:ascii="Arial" w:hAnsi="Arial" w:cs="Arial"/>
        </w:rPr>
        <w:t>5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6C20CB" w:rsidRPr="006C20CB">
        <w:rPr>
          <w:rFonts w:ascii="Arial" w:hAnsi="Arial" w:cs="Arial"/>
        </w:rPr>
        <w:t xml:space="preserve">consists </w:t>
      </w:r>
      <w:r w:rsidR="00240AC2" w:rsidRPr="00240AC2">
        <w:rPr>
          <w:rFonts w:ascii="Arial" w:hAnsi="Arial" w:cs="Arial"/>
        </w:rPr>
        <w:t xml:space="preserve">of </w:t>
      </w:r>
      <w:r w:rsidR="00480519" w:rsidRPr="00480519">
        <w:rPr>
          <w:rFonts w:ascii="Arial" w:hAnsi="Arial" w:cs="Arial"/>
        </w:rPr>
        <w:t>the transfers of ownership of interests in land in order to preserve open space, habitat, or historical resources</w:t>
      </w:r>
      <w:r w:rsidR="00240AC2" w:rsidRPr="00240AC2">
        <w:rPr>
          <w:rFonts w:ascii="Arial" w:hAnsi="Arial" w:cs="Arial"/>
        </w:rPr>
        <w:t xml:space="preserve">. </w:t>
      </w:r>
      <w:r w:rsidR="00A11D62" w:rsidRPr="00485EEF">
        <w:rPr>
          <w:rFonts w:ascii="Arial" w:hAnsi="Arial" w:cs="Arial"/>
        </w:rPr>
        <w:t xml:space="preserve">This includes </w:t>
      </w:r>
      <w:r w:rsidR="00A11D62" w:rsidRPr="00485EEF">
        <w:rPr>
          <w:rFonts w:ascii="Arial" w:hAnsi="Arial" w:cs="Arial"/>
          <w:highlight w:val="yellow"/>
        </w:rPr>
        <w:t>[insert the applicable example from the CEQA Guidelines]</w:t>
      </w:r>
      <w:r w:rsidR="00A11D62" w:rsidRPr="00485EEF">
        <w:rPr>
          <w:rFonts w:ascii="Arial" w:hAnsi="Arial" w:cs="Arial"/>
        </w:rPr>
        <w:t>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19AF1335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5E0A32">
        <w:rPr>
          <w:rFonts w:ascii="Arial" w:hAnsi="Arial" w:cs="Arial"/>
          <w:highlight w:val="yellow"/>
        </w:rPr>
        <w:t>2</w:t>
      </w:r>
      <w:r w:rsidR="00480519">
        <w:rPr>
          <w:rFonts w:ascii="Arial" w:hAnsi="Arial" w:cs="Arial"/>
          <w:highlight w:val="yellow"/>
        </w:rPr>
        <w:t>5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228E19AD" w:rsidR="0006173D" w:rsidRPr="00C718B5" w:rsidRDefault="009D65E9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667A70B7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9D65E9">
        <w:rPr>
          <w:rFonts w:ascii="Arial" w:hAnsi="Arial" w:cs="Arial"/>
          <w:highlight w:val="yellow"/>
        </w:rPr>
        <w:t>April</w:t>
      </w:r>
      <w:r w:rsidR="00CE24BD">
        <w:rPr>
          <w:rFonts w:ascii="Arial" w:hAnsi="Arial" w:cs="Arial"/>
          <w:highlight w:val="yellow"/>
        </w:rPr>
        <w:t xml:space="preserve"> 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35A9"/>
    <w:multiLevelType w:val="hybridMultilevel"/>
    <w:tmpl w:val="97A29E7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4E76"/>
    <w:multiLevelType w:val="hybridMultilevel"/>
    <w:tmpl w:val="89DC5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93D98"/>
    <w:rsid w:val="000A364E"/>
    <w:rsid w:val="000B70CF"/>
    <w:rsid w:val="000C0404"/>
    <w:rsid w:val="000E4697"/>
    <w:rsid w:val="000E5B74"/>
    <w:rsid w:val="000E6BE7"/>
    <w:rsid w:val="000F6ABA"/>
    <w:rsid w:val="001156A0"/>
    <w:rsid w:val="00122815"/>
    <w:rsid w:val="00123056"/>
    <w:rsid w:val="00123605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40AC2"/>
    <w:rsid w:val="002649CA"/>
    <w:rsid w:val="002671D9"/>
    <w:rsid w:val="002811C3"/>
    <w:rsid w:val="00285D06"/>
    <w:rsid w:val="00286CA5"/>
    <w:rsid w:val="002A278D"/>
    <w:rsid w:val="002C024D"/>
    <w:rsid w:val="002E217C"/>
    <w:rsid w:val="00304E6A"/>
    <w:rsid w:val="00307BD3"/>
    <w:rsid w:val="003114AA"/>
    <w:rsid w:val="003243BD"/>
    <w:rsid w:val="00350BF8"/>
    <w:rsid w:val="00371235"/>
    <w:rsid w:val="00375A09"/>
    <w:rsid w:val="00384A7A"/>
    <w:rsid w:val="003B10C7"/>
    <w:rsid w:val="003D2398"/>
    <w:rsid w:val="003E4663"/>
    <w:rsid w:val="003F45E0"/>
    <w:rsid w:val="003F68C7"/>
    <w:rsid w:val="004145F0"/>
    <w:rsid w:val="00416353"/>
    <w:rsid w:val="004464F1"/>
    <w:rsid w:val="0045395D"/>
    <w:rsid w:val="004623FF"/>
    <w:rsid w:val="00480519"/>
    <w:rsid w:val="00485EE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976D2"/>
    <w:rsid w:val="005B66F7"/>
    <w:rsid w:val="005C6468"/>
    <w:rsid w:val="005D3942"/>
    <w:rsid w:val="005E0A3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20CB"/>
    <w:rsid w:val="006C5823"/>
    <w:rsid w:val="006E4AC4"/>
    <w:rsid w:val="006E5095"/>
    <w:rsid w:val="006E5858"/>
    <w:rsid w:val="006E6CB6"/>
    <w:rsid w:val="006F3EC4"/>
    <w:rsid w:val="006F556D"/>
    <w:rsid w:val="006F79DA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D65E9"/>
    <w:rsid w:val="009E624A"/>
    <w:rsid w:val="009E6B47"/>
    <w:rsid w:val="009E798A"/>
    <w:rsid w:val="009F5884"/>
    <w:rsid w:val="00A11D62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3DEF"/>
    <w:rsid w:val="00B57F7A"/>
    <w:rsid w:val="00B60E94"/>
    <w:rsid w:val="00B637F7"/>
    <w:rsid w:val="00B755D3"/>
    <w:rsid w:val="00BA0FB4"/>
    <w:rsid w:val="00BA7227"/>
    <w:rsid w:val="00BB5E02"/>
    <w:rsid w:val="00BC1D99"/>
    <w:rsid w:val="00BE1C2D"/>
    <w:rsid w:val="00BF6FC3"/>
    <w:rsid w:val="00C033DB"/>
    <w:rsid w:val="00C17283"/>
    <w:rsid w:val="00C40B35"/>
    <w:rsid w:val="00C67E3C"/>
    <w:rsid w:val="00C718B5"/>
    <w:rsid w:val="00C760C1"/>
    <w:rsid w:val="00C775C2"/>
    <w:rsid w:val="00C85849"/>
    <w:rsid w:val="00C90C02"/>
    <w:rsid w:val="00CB5307"/>
    <w:rsid w:val="00CE24BD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45514"/>
    <w:rsid w:val="00F51482"/>
    <w:rsid w:val="00F566DD"/>
    <w:rsid w:val="00F76A83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6</cp:revision>
  <cp:lastPrinted>2018-06-29T18:47:00Z</cp:lastPrinted>
  <dcterms:created xsi:type="dcterms:W3CDTF">2020-02-25T22:54:00Z</dcterms:created>
  <dcterms:modified xsi:type="dcterms:W3CDTF">2020-04-13T22:02:00Z</dcterms:modified>
</cp:coreProperties>
</file>